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76" w:lineRule="auto"/>
        <w:ind w:hanging="270"/>
        <w:rPr/>
      </w:pPr>
      <w:bookmarkStart w:colFirst="0" w:colLast="0" w:name="_boda8gd0vjn5" w:id="0"/>
      <w:bookmarkEnd w:id="0"/>
      <w:r w:rsidDel="00000000" w:rsidR="00000000" w:rsidRPr="00000000">
        <w:rPr>
          <w:rtl w:val="0"/>
        </w:rPr>
        <w:t xml:space="preserve">Terms of Reference for Project Coordinator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POSITION INFORMATION</w:t>
      </w:r>
    </w:p>
    <w:p w:rsidR="00000000" w:rsidDel="00000000" w:rsidP="00000000" w:rsidRDefault="00000000" w:rsidRPr="00000000" w14:paraId="00000004">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Job Code Title:</w:t>
      </w:r>
      <w:r w:rsidDel="00000000" w:rsidR="00000000" w:rsidRPr="00000000">
        <w:rPr>
          <w:rtl w:val="0"/>
        </w:rPr>
        <w:t xml:space="preserve"> Project Coordinator (PC), Bhutanese National Only</w:t>
      </w:r>
      <w:r w:rsidDel="00000000" w:rsidR="00000000" w:rsidRPr="00000000">
        <w:rPr>
          <w:rtl w:val="0"/>
        </w:rPr>
      </w:r>
    </w:p>
    <w:p w:rsidR="00000000" w:rsidDel="00000000" w:rsidP="00000000" w:rsidRDefault="00000000" w:rsidRPr="00000000" w14:paraId="00000005">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Supervisor: </w:t>
      </w:r>
      <w:r w:rsidDel="00000000" w:rsidR="00000000" w:rsidRPr="00000000">
        <w:rPr>
          <w:rtl w:val="0"/>
        </w:rPr>
        <w:t xml:space="preserve">Chief Engineer, Sustainable and Resilient Building Division (SRBD), Department of Human Settlement (DHS)</w:t>
      </w:r>
      <w:r w:rsidDel="00000000" w:rsidR="00000000" w:rsidRPr="00000000">
        <w:rPr>
          <w:rtl w:val="0"/>
        </w:rPr>
      </w:r>
    </w:p>
    <w:p w:rsidR="00000000" w:rsidDel="00000000" w:rsidP="00000000" w:rsidRDefault="00000000" w:rsidRPr="00000000" w14:paraId="00000006">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Duration: </w:t>
      </w:r>
      <w:r w:rsidDel="00000000" w:rsidR="00000000" w:rsidRPr="00000000">
        <w:rPr>
          <w:rtl w:val="0"/>
        </w:rPr>
        <w:t xml:space="preserve">One year with the possibility of an extension based on performance</w:t>
      </w:r>
      <w:r w:rsidDel="00000000" w:rsidR="00000000" w:rsidRPr="00000000">
        <w:rPr>
          <w:rtl w:val="0"/>
        </w:rPr>
      </w:r>
    </w:p>
    <w:p w:rsidR="00000000" w:rsidDel="00000000" w:rsidP="00000000" w:rsidRDefault="00000000" w:rsidRPr="00000000" w14:paraId="00000007">
      <w:pPr>
        <w:spacing w:after="120" w:line="276" w:lineRule="auto"/>
        <w:ind w:hanging="270"/>
        <w:rPr/>
      </w:pPr>
      <w:r w:rsidDel="00000000" w:rsidR="00000000" w:rsidRPr="00000000">
        <w:rPr>
          <w:b w:val="1"/>
          <w:bCs w:val="1"/>
          <w:rtl w:val="0"/>
        </w:rPr>
        <w:t xml:space="preserve">Project: </w:t>
      </w:r>
      <w:r w:rsidDel="00000000" w:rsidR="00000000" w:rsidRPr="00000000">
        <w:rPr>
          <w:rtl w:val="0"/>
        </w:rPr>
        <w:t xml:space="preserve">Strengthening Risk Information for Disaster Resilience project (RIR project, P175081)</w:t>
      </w:r>
    </w:p>
    <w:p w:rsidR="00000000" w:rsidDel="00000000" w:rsidP="00000000" w:rsidRDefault="00000000" w:rsidRPr="00000000" w14:paraId="00000008">
      <w:pPr>
        <w:spacing w:after="120" w:line="276" w:lineRule="auto"/>
        <w:ind w:hanging="27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9">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PROJECT BACKGROUND</w:t>
      </w:r>
    </w:p>
    <w:p w:rsidR="00000000" w:rsidDel="00000000" w:rsidP="00000000" w:rsidRDefault="00000000" w:rsidRPr="00000000" w14:paraId="0000000A">
      <w:pPr>
        <w:spacing w:after="120" w:line="276" w:lineRule="auto"/>
        <w:ind w:hanging="270"/>
        <w:rPr/>
      </w:pPr>
      <w:r w:rsidDel="00000000" w:rsidR="00000000" w:rsidRPr="00000000">
        <w:rPr>
          <w:rtl w:val="0"/>
        </w:rPr>
        <w:t xml:space="preserve">Cities and villages with a high vulnerability of building and infrastructure stock will be severely affected by a large earthquake. The stress accumulation in the Himalayas based on the GPS instrumentation network indicates that a future large earthquake is due in the central Himalayas and across the seismic gaps of the Himalayan arc. Recent studies indicate that a slip potential of 4m, which corresponds to a magnitude of more than 8 on the Richter scale, exists along the portion of the Himalayan belt where Bhutan sits. A great magnitude earthquake can generate severe ground motion across a wide area from the expected source (past earthquake records indicate damage spread up to 300 km from the epicenter). The 2009 earthquake with magnitude 6.1 affected over 4,000 households and left over 7,000 people without adequate shelter. Another earthquake with magnitude 6.9 hit all the Dzongkhags in 2011, affecting the housing sector.</w:t>
      </w:r>
    </w:p>
    <w:p w:rsidR="00000000" w:rsidDel="00000000" w:rsidP="00000000" w:rsidRDefault="00000000" w:rsidRPr="00000000" w14:paraId="0000000B">
      <w:pPr>
        <w:spacing w:after="120" w:line="276" w:lineRule="auto"/>
        <w:ind w:hanging="270"/>
        <w:rPr/>
      </w:pPr>
      <w:r w:rsidDel="00000000" w:rsidR="00000000" w:rsidRPr="00000000">
        <w:rPr>
          <w:rtl w:val="0"/>
        </w:rPr>
      </w:r>
    </w:p>
    <w:p w:rsidR="00000000" w:rsidDel="00000000" w:rsidP="00000000" w:rsidRDefault="00000000" w:rsidRPr="00000000" w14:paraId="0000000C">
      <w:pPr>
        <w:spacing w:after="120" w:line="276" w:lineRule="auto"/>
        <w:ind w:hanging="270"/>
        <w:rPr/>
      </w:pPr>
      <w:r w:rsidDel="00000000" w:rsidR="00000000" w:rsidRPr="00000000">
        <w:rPr>
          <w:rtl w:val="0"/>
        </w:rPr>
        <w:t xml:space="preserve">In addition, there is a critical need to strengthen the country’s building regulatory and urban planning framework to ensure a green and resilient built environment. Although the construction of buildings in Bhutan is guided by the Building Code 2018, Building Regulation 2023, and Green Building Design Guidelines 2013 and Indian Standards Further, while the code and regulations include structural fire safety and protection provisions, it is not rigorously implemented, and no clear guidelines exist for rural buildings. Moreover, the Building Code directly adopts the Indian Standards (IS) Building Codes, which are not tailored to the unique geophysical conditions of Bhutan as seismic hazard maps for Bhutan have not been developed. Further, the current green building guideline is generic as it was developed as the first steppingstone towards a more robust green standard or certification system. Despite the need to revise the guideline, it has not been revised for over a decade.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t xml:space="preserve">The Royal Government of Bhutan received a grant of US$4.88 million from the World Bank for the project titled “Strengthening Risk Information for Disaster Resilience in Bhutan” (the RIR Project). The objective of the project is to enhance Bhutan’s capacity for risk-informed decision making and development planning in targeted sectors. The project has three components as follows: </w:t>
      </w:r>
    </w:p>
    <w:p w:rsidR="00000000" w:rsidDel="00000000" w:rsidP="00000000" w:rsidRDefault="00000000" w:rsidRPr="00000000" w14:paraId="0000000F">
      <w:pPr>
        <w:numPr>
          <w:ilvl w:val="0"/>
          <w:numId w:val="15"/>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A. Development and Piloting of a Multi-Hazard Risk Decision Support System </w:t>
      </w:r>
    </w:p>
    <w:p w:rsidR="00000000" w:rsidDel="00000000" w:rsidP="00000000" w:rsidRDefault="00000000" w:rsidRPr="00000000" w14:paraId="00000010">
      <w:pPr>
        <w:numPr>
          <w:ilvl w:val="0"/>
          <w:numId w:val="15"/>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B. Strengthening Hydromet and Agromet Services Delivery </w:t>
      </w:r>
    </w:p>
    <w:p w:rsidR="00000000" w:rsidDel="00000000" w:rsidP="00000000" w:rsidRDefault="00000000" w:rsidRPr="00000000" w14:paraId="00000011">
      <w:pPr>
        <w:numPr>
          <w:ilvl w:val="0"/>
          <w:numId w:val="16"/>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C. Professionalization of Construction Industry for Green and Resilient Infrastructure Development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t xml:space="preserve">This ToR is a part of the implementation of Component C.</w:t>
      </w:r>
    </w:p>
    <w:p w:rsidR="00000000" w:rsidDel="00000000" w:rsidP="00000000" w:rsidRDefault="00000000" w:rsidRPr="00000000" w14:paraId="00000013">
      <w:pPr>
        <w:spacing w:after="120" w:line="276" w:lineRule="auto"/>
        <w:ind w:hanging="270"/>
        <w:rPr/>
      </w:pPr>
      <w:r w:rsidDel="00000000" w:rsidR="00000000" w:rsidRPr="00000000">
        <w:rPr>
          <w:rtl w:val="0"/>
        </w:rPr>
        <w:t xml:space="preserve">The Department of Human Settlement (DHS) under the Ministry of Infrastructure and Transport (MoIT) is embarking on a comprehensive program toward a green and resilient built environment to address these challenges under Component C. Under this grant, DHS will focus on the development of seismic code for Bhutan and the groundwork for green building standard based on the Green Building Design Guidelines 2013.</w:t>
      </w:r>
    </w:p>
    <w:p w:rsidR="00000000" w:rsidDel="00000000" w:rsidP="00000000" w:rsidRDefault="00000000" w:rsidRPr="00000000" w14:paraId="00000014">
      <w:pPr>
        <w:spacing w:after="120" w:line="276" w:lineRule="auto"/>
        <w:ind w:hanging="270"/>
        <w:rPr/>
      </w:pPr>
      <w:r w:rsidDel="00000000" w:rsidR="00000000" w:rsidRPr="00000000">
        <w:rPr>
          <w:rtl w:val="0"/>
        </w:rPr>
      </w:r>
    </w:p>
    <w:p w:rsidR="00000000" w:rsidDel="00000000" w:rsidP="00000000" w:rsidRDefault="00000000" w:rsidRPr="00000000" w14:paraId="00000015">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PROJECT OUTCOMES</w:t>
      </w:r>
    </w:p>
    <w:p w:rsidR="00000000" w:rsidDel="00000000" w:rsidP="00000000" w:rsidRDefault="00000000" w:rsidRPr="00000000" w14:paraId="00000016">
      <w:pPr>
        <w:spacing w:after="120" w:line="276" w:lineRule="auto"/>
        <w:ind w:hanging="270"/>
        <w:rPr/>
      </w:pPr>
      <w:r w:rsidDel="00000000" w:rsidR="00000000" w:rsidRPr="00000000">
        <w:rPr>
          <w:rtl w:val="0"/>
        </w:rPr>
        <w:t xml:space="preserve">The results will be delivered through the following:</w:t>
      </w:r>
    </w:p>
    <w:p w:rsidR="00000000" w:rsidDel="00000000" w:rsidP="00000000" w:rsidRDefault="00000000" w:rsidRPr="00000000" w14:paraId="00000017">
      <w:pPr>
        <w:spacing w:after="120" w:line="276" w:lineRule="auto"/>
        <w:ind w:hanging="270"/>
        <w:rPr/>
      </w:pPr>
      <w:r w:rsidDel="00000000" w:rsidR="00000000" w:rsidRPr="00000000">
        <w:rPr>
          <w:rtl w:val="0"/>
        </w:rPr>
        <w:t xml:space="preserve">1.1 Groundwork for Revision of Building Code</w:t>
      </w:r>
    </w:p>
    <w:p w:rsidR="00000000" w:rsidDel="00000000" w:rsidP="00000000" w:rsidRDefault="00000000" w:rsidRPr="00000000" w14:paraId="00000018">
      <w:pPr>
        <w:spacing w:after="120" w:line="276" w:lineRule="auto"/>
        <w:ind w:hanging="270"/>
        <w:rPr/>
      </w:pPr>
      <w:r w:rsidDel="00000000" w:rsidR="00000000" w:rsidRPr="00000000">
        <w:rPr>
          <w:rtl w:val="0"/>
        </w:rPr>
        <w:t xml:space="preserve">1.2 Groundwork for Green Building</w:t>
      </w:r>
    </w:p>
    <w:p w:rsidR="00000000" w:rsidDel="00000000" w:rsidP="00000000" w:rsidRDefault="00000000" w:rsidRPr="00000000" w14:paraId="00000019">
      <w:pPr>
        <w:spacing w:after="120" w:line="276" w:lineRule="auto"/>
        <w:ind w:hanging="270"/>
        <w:rPr/>
      </w:pPr>
      <w:r w:rsidDel="00000000" w:rsidR="00000000" w:rsidRPr="00000000">
        <w:rPr>
          <w:rtl w:val="0"/>
        </w:rPr>
        <w:t xml:space="preserve">1.3 Revision of Building Code (seismic)</w:t>
      </w:r>
    </w:p>
    <w:p w:rsidR="00000000" w:rsidDel="00000000" w:rsidP="00000000" w:rsidRDefault="00000000" w:rsidRPr="00000000" w14:paraId="0000001A">
      <w:pPr>
        <w:spacing w:after="120" w:line="276" w:lineRule="auto"/>
        <w:ind w:hanging="270"/>
        <w:rPr/>
      </w:pPr>
      <w:r w:rsidDel="00000000" w:rsidR="00000000" w:rsidRPr="00000000">
        <w:rPr>
          <w:rtl w:val="0"/>
        </w:rPr>
        <w:t xml:space="preserve">1.4 Capacity Building and Sensitization of the Construction Industry</w:t>
      </w:r>
    </w:p>
    <w:p w:rsidR="00000000" w:rsidDel="00000000" w:rsidP="00000000" w:rsidRDefault="00000000" w:rsidRPr="00000000" w14:paraId="0000001B">
      <w:pPr>
        <w:spacing w:after="120" w:line="276" w:lineRule="auto"/>
        <w:ind w:hanging="270"/>
        <w:rPr/>
      </w:pPr>
      <w:r w:rsidDel="00000000" w:rsidR="00000000" w:rsidRPr="00000000">
        <w:rPr>
          <w:rtl w:val="0"/>
        </w:rPr>
      </w:r>
    </w:p>
    <w:p w:rsidR="00000000" w:rsidDel="00000000" w:rsidP="00000000" w:rsidRDefault="00000000" w:rsidRPr="00000000" w14:paraId="0000001C">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DUTIES AND ACCOUNTABILITIES</w:t>
      </w:r>
    </w:p>
    <w:p w:rsidR="00000000" w:rsidDel="00000000" w:rsidP="00000000" w:rsidRDefault="00000000" w:rsidRPr="00000000" w14:paraId="0000001D">
      <w:pPr>
        <w:spacing w:after="120" w:line="276" w:lineRule="auto"/>
        <w:ind w:hanging="270"/>
        <w:rPr/>
      </w:pPr>
      <w:r w:rsidDel="00000000" w:rsidR="00000000" w:rsidRPr="00000000">
        <w:rPr>
          <w:rtl w:val="0"/>
        </w:rPr>
        <w:t xml:space="preserve">The Project Coordinator will have the following duties and responsibilities:</w:t>
      </w:r>
    </w:p>
    <w:p w:rsidR="00000000" w:rsidDel="00000000" w:rsidP="00000000" w:rsidRDefault="00000000" w:rsidRPr="00000000" w14:paraId="0000001E">
      <w:pPr>
        <w:pStyle w:val="Heading3"/>
        <w:numPr>
          <w:ilvl w:val="0"/>
          <w:numId w:val="10"/>
        </w:numPr>
        <w:spacing w:after="120" w:before="0" w:line="276" w:lineRule="auto"/>
        <w:ind w:left="360" w:hanging="360"/>
        <w:rPr/>
      </w:pPr>
      <w:r w:rsidDel="00000000" w:rsidR="00000000" w:rsidRPr="00000000">
        <w:rPr>
          <w:rtl w:val="0"/>
        </w:rPr>
        <w:t xml:space="preserve">Coordination</w:t>
      </w:r>
    </w:p>
    <w:p w:rsidR="00000000" w:rsidDel="00000000" w:rsidP="00000000" w:rsidRDefault="00000000" w:rsidRPr="00000000" w14:paraId="0000001F">
      <w:pPr>
        <w:pStyle w:val="Heading4"/>
        <w:numPr>
          <w:ilvl w:val="0"/>
          <w:numId w:val="11"/>
        </w:numPr>
        <w:spacing w:after="120" w:before="0" w:line="276" w:lineRule="auto"/>
        <w:ind w:left="450" w:hanging="360"/>
        <w:rPr/>
      </w:pPr>
      <w:r w:rsidDel="00000000" w:rsidR="00000000" w:rsidRPr="00000000">
        <w:rPr>
          <w:rtl w:val="0"/>
        </w:rPr>
        <w:t xml:space="preserve">Project Implementation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and coordinate the implementation of the project activities in accordance with the approved Project Document, annual work plans and budgets.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procurement of works and services in coordination with the Chief, Project focals and TWG</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Incorporate the feedback of relevant stakeholders during socioeconomic assessment and mitigation, development of the Building Code conceptualization, and the development of supporting guidelines and communications to the public</w:t>
      </w:r>
    </w:p>
    <w:p w:rsidR="00000000" w:rsidDel="00000000" w:rsidP="00000000" w:rsidRDefault="00000000" w:rsidRPr="00000000" w14:paraId="00000023">
      <w:pPr>
        <w:pStyle w:val="Heading4"/>
        <w:numPr>
          <w:ilvl w:val="0"/>
          <w:numId w:val="11"/>
        </w:numPr>
        <w:spacing w:after="120" w:before="0" w:line="276" w:lineRule="auto"/>
        <w:ind w:left="450" w:hanging="360"/>
        <w:rPr/>
      </w:pPr>
      <w:r w:rsidDel="00000000" w:rsidR="00000000" w:rsidRPr="00000000">
        <w:rPr>
          <w:rtl w:val="0"/>
        </w:rPr>
        <w:t xml:space="preserve">Inter-Agency Coordination and Harmonization: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interagency coordination among the key stakeholders such as Department of Geology and Mines (DGM), institutions under the Royal University of Bhutan (RUB) - College of Science and Technology (CST), Jigme Namgyel Engeering College (JNEC) - , Department of Infrastructure Development (DoID), Department of Culture, Local Governments (LGs), Department of Energy, National Centre for Hydrology and Meteorology (NCHM), private sector, etc ensuring their input in the project design, activities plan, and implementation of project activities.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with other relevant government organizations to facilitate the harmonization of all documents within the building regulatory framework</w:t>
      </w:r>
    </w:p>
    <w:p w:rsidR="00000000" w:rsidDel="00000000" w:rsidP="00000000" w:rsidRDefault="00000000" w:rsidRPr="00000000" w14:paraId="00000026">
      <w:pPr>
        <w:pStyle w:val="Heading4"/>
        <w:numPr>
          <w:ilvl w:val="0"/>
          <w:numId w:val="11"/>
        </w:numPr>
        <w:spacing w:after="120" w:before="0" w:line="276" w:lineRule="auto"/>
        <w:ind w:left="450" w:hanging="360"/>
        <w:rPr/>
      </w:pPr>
      <w:r w:rsidDel="00000000" w:rsidR="00000000" w:rsidRPr="00000000">
        <w:rPr>
          <w:rtl w:val="0"/>
        </w:rPr>
        <w:t xml:space="preserve">Project Reviews and Planning Workshops: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project reviews and planning workshops, assisting in the preparation of relevant reports.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verify annual work plans and budgets for onward submission to the PMU for perusal and approval, prior to implementation.</w:t>
      </w:r>
    </w:p>
    <w:p w:rsidR="00000000" w:rsidDel="00000000" w:rsidP="00000000" w:rsidRDefault="00000000" w:rsidRPr="00000000" w14:paraId="00000029">
      <w:pPr>
        <w:pStyle w:val="Heading4"/>
        <w:numPr>
          <w:ilvl w:val="0"/>
          <w:numId w:val="11"/>
        </w:numPr>
        <w:spacing w:after="120" w:before="0" w:line="276" w:lineRule="auto"/>
        <w:ind w:left="450" w:hanging="360"/>
        <w:rPr/>
      </w:pPr>
      <w:r w:rsidDel="00000000" w:rsidR="00000000" w:rsidRPr="00000000">
        <w:rPr>
          <w:rtl w:val="0"/>
        </w:rPr>
        <w:t xml:space="preserve">Technical Working Group (TWG) Meetings: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TWG meetings including preparation and notification of agenda and circulation of documents necessary for the meetings at least two days in advance. Also ensure that the minutes of the meetings are produced and circulated within a week after such meetings are held</w:t>
      </w:r>
    </w:p>
    <w:p w:rsidR="00000000" w:rsidDel="00000000" w:rsidP="00000000" w:rsidRDefault="00000000" w:rsidRPr="00000000" w14:paraId="0000002B">
      <w:pPr>
        <w:spacing w:after="120" w:line="276" w:lineRule="auto"/>
        <w:ind w:hanging="270"/>
        <w:rPr/>
      </w:pPr>
      <w:r w:rsidDel="00000000" w:rsidR="00000000" w:rsidRPr="00000000">
        <w:rPr>
          <w:rtl w:val="0"/>
        </w:rPr>
      </w:r>
    </w:p>
    <w:p w:rsidR="00000000" w:rsidDel="00000000" w:rsidP="00000000" w:rsidRDefault="00000000" w:rsidRPr="00000000" w14:paraId="0000002C">
      <w:pPr>
        <w:pStyle w:val="Heading3"/>
        <w:numPr>
          <w:ilvl w:val="0"/>
          <w:numId w:val="10"/>
        </w:numPr>
        <w:spacing w:after="120" w:before="0" w:line="276" w:lineRule="auto"/>
        <w:ind w:left="360" w:hanging="360"/>
        <w:rPr/>
      </w:pPr>
      <w:bookmarkStart w:colFirst="0" w:colLast="0" w:name="_mmh7ztuiks24" w:id="1"/>
      <w:bookmarkEnd w:id="1"/>
      <w:r w:rsidDel="00000000" w:rsidR="00000000" w:rsidRPr="00000000">
        <w:rPr>
          <w:rtl w:val="0"/>
        </w:rPr>
        <w:t xml:space="preserve">Facilitation</w:t>
      </w:r>
    </w:p>
    <w:p w:rsidR="00000000" w:rsidDel="00000000" w:rsidP="00000000" w:rsidRDefault="00000000" w:rsidRPr="00000000" w14:paraId="0000002D">
      <w:pPr>
        <w:pStyle w:val="Heading4"/>
        <w:numPr>
          <w:ilvl w:val="0"/>
          <w:numId w:val="11"/>
        </w:numPr>
        <w:spacing w:after="120" w:before="0" w:line="276" w:lineRule="auto"/>
        <w:ind w:left="450" w:hanging="360"/>
        <w:rPr/>
      </w:pPr>
      <w:r w:rsidDel="00000000" w:rsidR="00000000" w:rsidRPr="00000000">
        <w:rPr>
          <w:rtl w:val="0"/>
        </w:rPr>
        <w:t xml:space="preserve">Project Steering Committee (PSC) Meetings: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PSC meetings to review project progress, identify gaps, and agree on key actions for the next implementation phase.</w:t>
      </w:r>
    </w:p>
    <w:p w:rsidR="00000000" w:rsidDel="00000000" w:rsidP="00000000" w:rsidRDefault="00000000" w:rsidRPr="00000000" w14:paraId="0000002F">
      <w:pPr>
        <w:pStyle w:val="Heading4"/>
        <w:numPr>
          <w:ilvl w:val="0"/>
          <w:numId w:val="11"/>
        </w:numPr>
        <w:spacing w:after="120" w:before="0" w:line="276" w:lineRule="auto"/>
        <w:ind w:left="450" w:hanging="360"/>
        <w:rPr/>
      </w:pPr>
      <w:r w:rsidDel="00000000" w:rsidR="00000000" w:rsidRPr="00000000">
        <w:rPr>
          <w:rtl w:val="0"/>
        </w:rPr>
        <w:t xml:space="preserve">Document and Updates of progress: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update of progress and documents.</w:t>
      </w:r>
    </w:p>
    <w:p w:rsidR="00000000" w:rsidDel="00000000" w:rsidP="00000000" w:rsidRDefault="00000000" w:rsidRPr="00000000" w14:paraId="00000031">
      <w:pPr>
        <w:pStyle w:val="Heading4"/>
        <w:numPr>
          <w:ilvl w:val="0"/>
          <w:numId w:val="11"/>
        </w:numPr>
        <w:spacing w:after="120" w:before="0" w:line="276" w:lineRule="auto"/>
        <w:ind w:left="450" w:hanging="360"/>
        <w:rPr/>
      </w:pPr>
      <w:r w:rsidDel="00000000" w:rsidR="00000000" w:rsidRPr="00000000">
        <w:rPr>
          <w:rtl w:val="0"/>
        </w:rPr>
        <w:t xml:space="preserve">Fund Coordination: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Prepare budget forecasts and requests, facilitate budget disbursement, and budget reappropriation for the project.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36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numPr>
          <w:ilvl w:val="0"/>
          <w:numId w:val="10"/>
        </w:numPr>
        <w:spacing w:after="120" w:before="0" w:line="276" w:lineRule="auto"/>
        <w:ind w:left="360" w:hanging="360"/>
        <w:rPr/>
      </w:pPr>
      <w:bookmarkStart w:colFirst="0" w:colLast="0" w:name="_db3jux24isqr" w:id="2"/>
      <w:bookmarkEnd w:id="2"/>
      <w:r w:rsidDel="00000000" w:rsidR="00000000" w:rsidRPr="00000000">
        <w:rPr>
          <w:rtl w:val="0"/>
        </w:rPr>
        <w:t xml:space="preserve">Monitoring and Evaluation</w:t>
      </w:r>
    </w:p>
    <w:p w:rsidR="00000000" w:rsidDel="00000000" w:rsidP="00000000" w:rsidRDefault="00000000" w:rsidRPr="00000000" w14:paraId="00000035">
      <w:pPr>
        <w:pStyle w:val="Heading4"/>
        <w:numPr>
          <w:ilvl w:val="0"/>
          <w:numId w:val="11"/>
        </w:numPr>
        <w:spacing w:after="120" w:before="0" w:line="276" w:lineRule="auto"/>
        <w:ind w:left="450" w:hanging="360"/>
        <w:rPr/>
      </w:pPr>
      <w:r w:rsidDel="00000000" w:rsidR="00000000" w:rsidRPr="00000000">
        <w:rPr>
          <w:rtl w:val="0"/>
        </w:rPr>
        <w:t xml:space="preserve">Monitoring Progress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and evaluate project progress, preparing M&amp;E reports in accordance with the provisions of the Grant Agreement.</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issues/challenges in project implementation and take them up during project review meetings, where necessary, escalate to the PMU and PSC for information, guidance and solutions.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Apprise the PMU &amp;/ PSC in the event of significant project deviations including project delays, financial deviations, changes in scope and facilitate the incorporation of necessary changes.</w:t>
      </w:r>
    </w:p>
    <w:p w:rsidR="00000000" w:rsidDel="00000000" w:rsidP="00000000" w:rsidRDefault="00000000" w:rsidRPr="00000000" w14:paraId="00000039">
      <w:pPr>
        <w:pStyle w:val="Heading4"/>
        <w:numPr>
          <w:ilvl w:val="0"/>
          <w:numId w:val="11"/>
        </w:numPr>
        <w:spacing w:after="120" w:before="0" w:line="276" w:lineRule="auto"/>
        <w:ind w:left="450" w:hanging="360"/>
        <w:rPr/>
      </w:pPr>
      <w:r w:rsidDel="00000000" w:rsidR="00000000" w:rsidRPr="00000000">
        <w:rPr>
          <w:rtl w:val="0"/>
        </w:rPr>
        <w:t xml:space="preserve">Audit and Evaluation Documentation: </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inclusion of project audit in the annual audit plan and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conduct of internal audit and annual Audit by RAA (Royal Audit Authority) for the project.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36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numPr>
          <w:ilvl w:val="0"/>
          <w:numId w:val="10"/>
        </w:numPr>
        <w:spacing w:after="120" w:before="0" w:line="276" w:lineRule="auto"/>
        <w:ind w:left="360" w:hanging="360"/>
        <w:rPr/>
      </w:pPr>
      <w:bookmarkStart w:colFirst="0" w:colLast="0" w:name="_45spru8hgzvr" w:id="3"/>
      <w:bookmarkEnd w:id="3"/>
      <w:r w:rsidDel="00000000" w:rsidR="00000000" w:rsidRPr="00000000">
        <w:rPr>
          <w:rtl w:val="0"/>
        </w:rPr>
        <w:t xml:space="preserve">Reporting and Documentation</w:t>
      </w:r>
    </w:p>
    <w:p w:rsidR="00000000" w:rsidDel="00000000" w:rsidP="00000000" w:rsidRDefault="00000000" w:rsidRPr="00000000" w14:paraId="0000003E">
      <w:pPr>
        <w:pStyle w:val="Heading4"/>
        <w:numPr>
          <w:ilvl w:val="0"/>
          <w:numId w:val="11"/>
        </w:numPr>
        <w:spacing w:after="120" w:before="0" w:line="276" w:lineRule="auto"/>
        <w:ind w:left="450" w:hanging="360"/>
        <w:rPr/>
      </w:pPr>
      <w:r w:rsidDel="00000000" w:rsidR="00000000" w:rsidRPr="00000000">
        <w:rPr>
          <w:rtl w:val="0"/>
        </w:rPr>
        <w:t xml:space="preserve">Document Preparation: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preparation and support for all required documents and reports for project delivery. This includes financial reports, progress reports, procurement plans, operational manuals, Terms of Reference (TORs), bidding documents, etc., as per project requirements.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identification, analysis and documentation of best practices and lessons learned from the project and share with stakeholders to improve the performance/ increase the effectiveness of the project implementation.</w:t>
      </w:r>
    </w:p>
    <w:p w:rsidR="00000000" w:rsidDel="00000000" w:rsidP="00000000" w:rsidRDefault="00000000" w:rsidRPr="00000000" w14:paraId="00000041">
      <w:pPr>
        <w:spacing w:after="120" w:line="276" w:lineRule="auto"/>
        <w:ind w:hanging="270"/>
        <w:rPr/>
      </w:pPr>
      <w:r w:rsidDel="00000000" w:rsidR="00000000" w:rsidRPr="00000000">
        <w:rPr>
          <w:rtl w:val="0"/>
        </w:rPr>
      </w:r>
    </w:p>
    <w:p w:rsidR="00000000" w:rsidDel="00000000" w:rsidP="00000000" w:rsidRDefault="00000000" w:rsidRPr="00000000" w14:paraId="00000042">
      <w:pPr>
        <w:pStyle w:val="Heading3"/>
        <w:numPr>
          <w:ilvl w:val="0"/>
          <w:numId w:val="10"/>
        </w:numPr>
        <w:spacing w:after="120" w:before="0" w:line="276" w:lineRule="auto"/>
        <w:ind w:left="360" w:hanging="360"/>
        <w:rPr>
          <w:color w:val="434343"/>
        </w:rPr>
      </w:pPr>
      <w:bookmarkStart w:colFirst="0" w:colLast="0" w:name="_bxcqiu15f7we" w:id="4"/>
      <w:bookmarkEnd w:id="4"/>
      <w:r w:rsidDel="00000000" w:rsidR="00000000" w:rsidRPr="00000000">
        <w:rPr>
          <w:rtl w:val="0"/>
        </w:rPr>
        <w:t xml:space="preserve">Miscellaneous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in the event of any grievances as per the Grievance Redressal Mechanism (GRM) framework</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Collaborate and support the Project Implementation Unit (PIU), DHS by carrying out any other tasks as deemed necessary</w:t>
      </w:r>
    </w:p>
    <w:p w:rsidR="00000000" w:rsidDel="00000000" w:rsidP="00000000" w:rsidRDefault="00000000" w:rsidRPr="00000000" w14:paraId="00000045">
      <w:pPr>
        <w:spacing w:after="120" w:line="276" w:lineRule="auto"/>
        <w:ind w:hanging="270"/>
        <w:rPr/>
      </w:pPr>
      <w:r w:rsidDel="00000000" w:rsidR="00000000" w:rsidRPr="00000000">
        <w:rPr>
          <w:rtl w:val="0"/>
        </w:rPr>
      </w:r>
    </w:p>
    <w:p w:rsidR="00000000" w:rsidDel="00000000" w:rsidP="00000000" w:rsidRDefault="00000000" w:rsidRPr="00000000" w14:paraId="00000046">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ELIGIBILITY</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Minimum of bachelor’s degree in civil engineering, architectural engineering, urban planning, business administration, and any other related field with minimum work experience of 7 years OR Master’s degree in related field with minimum work experience of 5 years.</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bookmarkStart w:colFirst="0" w:colLast="0" w:name="_q6qc4uc1rsz6" w:id="5"/>
      <w:bookmarkEnd w:i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4 years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professional experience in project management including planning, budgeting, coordination, and monitorin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or specialization in seismic engineering or green and energy-efficient building will be an added advantage.</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with procurement processes, including the preparation of bidding documents and coordination of procurement activities will be an advantage.</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Strong interpersonal skills and experience in facilitating inter-agency coordination and stakeholder engagement.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Ability to identify and address issues and challenges in project implementation.</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possess skills in promoting teamwork and flexibility to work under pressure and have the ability to work efficiently and effectively with a multidisciplinary team.</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communication skills and ability to interact with counterparts at all levels</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Proficiency in both Dzongkha and English</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Proficient in MS word, excel and PowerPoint</w:t>
      </w:r>
    </w:p>
    <w:p w:rsidR="00000000" w:rsidDel="00000000" w:rsidP="00000000" w:rsidRDefault="00000000" w:rsidRPr="00000000" w14:paraId="00000051">
      <w:pPr>
        <w:spacing w:after="120" w:line="276" w:lineRule="auto"/>
        <w:ind w:hanging="270"/>
        <w:rPr/>
      </w:pPr>
      <w:r w:rsidDel="00000000" w:rsidR="00000000" w:rsidRPr="00000000">
        <w:rPr>
          <w:rtl w:val="0"/>
        </w:rPr>
      </w:r>
    </w:p>
    <w:p w:rsidR="00000000" w:rsidDel="00000000" w:rsidP="00000000" w:rsidRDefault="00000000" w:rsidRPr="00000000" w14:paraId="00000052">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INPUTS FROM THE CLIENT</w:t>
      </w:r>
    </w:p>
    <w:p w:rsidR="00000000" w:rsidDel="00000000" w:rsidP="00000000" w:rsidRDefault="00000000" w:rsidRPr="00000000" w14:paraId="00000053">
      <w:pPr>
        <w:spacing w:after="120" w:line="276" w:lineRule="auto"/>
        <w:ind w:hanging="270"/>
        <w:rPr/>
      </w:pPr>
      <w:r w:rsidDel="00000000" w:rsidR="00000000" w:rsidRPr="00000000">
        <w:rPr>
          <w:rtl w:val="0"/>
        </w:rPr>
        <w:t xml:space="preserve">The client will be responsible for providing the following inputs to the Project Coordinator:</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Office space and equipment</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relevant documents on the project</w:t>
      </w:r>
    </w:p>
    <w:p w:rsidR="00000000" w:rsidDel="00000000" w:rsidP="00000000" w:rsidRDefault="00000000" w:rsidRPr="00000000" w14:paraId="00000056">
      <w:pPr>
        <w:spacing w:after="120" w:line="276" w:lineRule="auto"/>
        <w:ind w:hanging="270"/>
        <w:rPr/>
      </w:pPr>
      <w:r w:rsidDel="00000000" w:rsidR="00000000" w:rsidRPr="00000000">
        <w:rPr>
          <w:rtl w:val="0"/>
        </w:rPr>
      </w:r>
    </w:p>
    <w:p w:rsidR="00000000" w:rsidDel="00000000" w:rsidP="00000000" w:rsidRDefault="00000000" w:rsidRPr="00000000" w14:paraId="00000057">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CONTRACT TERM &amp; REMUNERATIONS</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initial contract term shall be one year subject to renewal until the closure of the project on June 30, 2026, depending on the performance of the individual and upon mutual agreement.</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pay at the time of the Project period shall be fixed at the lump sum of Nu.80,000/- per month as per qualifications and experiences.</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Salary shall be subjected to Tax Deduction at Source as per Income Tax Act of Kingdom of Bhutan.</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PC shall be entitled to Travel Allowance and Daily Subsistence Allowance (TA/DSA) equivalent to P-Level.</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PC shall be entitled for 10 days casual leave which shall be granted by the Chief Engineer, SRBD, DHS</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leave (Bereavement, Paternity, maternity and medical leave) shall be as per the RGOB prevailing rules governing contract employees.</w:t>
      </w:r>
    </w:p>
    <w:p w:rsidR="00000000" w:rsidDel="00000000" w:rsidP="00000000" w:rsidRDefault="00000000" w:rsidRPr="00000000" w14:paraId="0000005E">
      <w:pPr>
        <w:spacing w:after="120" w:line="276" w:lineRule="auto"/>
        <w:ind w:hanging="270"/>
        <w:rPr/>
      </w:pPr>
      <w:r w:rsidDel="00000000" w:rsidR="00000000" w:rsidRPr="00000000">
        <w:rPr>
          <w:rtl w:val="0"/>
        </w:rPr>
      </w:r>
    </w:p>
    <w:p w:rsidR="00000000" w:rsidDel="00000000" w:rsidP="00000000" w:rsidRDefault="00000000" w:rsidRPr="00000000" w14:paraId="0000005F">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REPORTING</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shall directly report to the Chief Engineer, SRBD, DHS.</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should work full-time under the DHS for the implementation of the grant Project.</w:t>
      </w:r>
    </w:p>
    <w:p w:rsidR="00000000" w:rsidDel="00000000" w:rsidP="00000000" w:rsidRDefault="00000000" w:rsidRPr="00000000" w14:paraId="00000062">
      <w:pPr>
        <w:spacing w:after="120" w:line="276" w:lineRule="auto"/>
        <w:ind w:hanging="270"/>
        <w:rPr/>
      </w:pPr>
      <w:r w:rsidDel="00000000" w:rsidR="00000000" w:rsidRPr="00000000">
        <w:rPr>
          <w:rtl w:val="0"/>
        </w:rPr>
      </w:r>
    </w:p>
    <w:p w:rsidR="00000000" w:rsidDel="00000000" w:rsidP="00000000" w:rsidRDefault="00000000" w:rsidRPr="00000000" w14:paraId="00000063">
      <w:pPr>
        <w:pStyle w:val="Heading2"/>
        <w:numPr>
          <w:ilvl w:val="0"/>
          <w:numId w:val="8"/>
        </w:numPr>
        <w:tabs>
          <w:tab w:val="left" w:leader="none" w:pos="830"/>
        </w:tabs>
        <w:ind w:left="360" w:hanging="360"/>
        <w:rPr/>
      </w:pPr>
      <w:r w:rsidDel="00000000" w:rsidR="00000000" w:rsidRPr="00000000">
        <w:rPr>
          <w:rtl w:val="0"/>
        </w:rPr>
        <w:t xml:space="preserve">PRE- MATURE TERMINATION OF CONTRACT</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shall serve the entire contract project period subject to annual renewal of the contract based on performance. Should the contract employee tender premature resignation he/she shall refund three months gross pay and allowances.</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service of the Project Coordinator shall be terminated under the following grounds:</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in executing duties as prescribed in Terms of Reference</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 the PC is expected to devote full time and attention to the duties and responsibilities of this position, no additional employment or professional engagement is permitted concurrently with this position. Any violation of this clause may result in termination of the contract.</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termination of employees under these circumstances shall be endorsed by HRC of the Agency (MoIT).</w:t>
      </w:r>
    </w:p>
    <w:p w:rsidR="00000000" w:rsidDel="00000000" w:rsidP="00000000" w:rsidRDefault="00000000" w:rsidRPr="00000000" w14:paraId="00000069">
      <w:pPr>
        <w:spacing w:after="120" w:line="276" w:lineRule="auto"/>
        <w:ind w:hanging="270"/>
        <w:rPr/>
      </w:pPr>
      <w:r w:rsidDel="00000000" w:rsidR="00000000" w:rsidRPr="00000000">
        <w:rPr>
          <w:rtl w:val="0"/>
        </w:rPr>
      </w:r>
    </w:p>
    <w:p w:rsidR="00000000" w:rsidDel="00000000" w:rsidP="00000000" w:rsidRDefault="00000000" w:rsidRPr="00000000" w14:paraId="0000006A">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REQUIREMENTS</w:t>
      </w:r>
    </w:p>
    <w:p w:rsidR="00000000" w:rsidDel="00000000" w:rsidP="00000000" w:rsidRDefault="00000000" w:rsidRPr="00000000" w14:paraId="0000006B">
      <w:pPr>
        <w:spacing w:after="120" w:line="276" w:lineRule="auto"/>
        <w:ind w:hanging="270"/>
        <w:rPr/>
      </w:pPr>
      <w:r w:rsidDel="00000000" w:rsidR="00000000" w:rsidRPr="00000000">
        <w:rPr>
          <w:rtl w:val="0"/>
        </w:rPr>
        <w:t xml:space="preserve">The interested qualified candidates must submit the following documents to the CHRO, MoIT, Thimphu with the following documents:</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 with detailed CV</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Copies of Academic transcripts and Certificates</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 Security Clearance</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 Clearance, if applicable</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Certificate/letter of Experience/ reference </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Relevant Training Certificates</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of Citizenship card</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Medical Fitness Certificate</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450" w:right="-360" w:hanging="360"/>
        <w:jc w:val="both"/>
        <w:rPr/>
      </w:pPr>
      <w:bookmarkStart w:colFirst="0" w:colLast="0" w:name="_fvwaz4dko4c" w:id="6"/>
      <w:bookmarkEnd w:id="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Objection Letter, if employed</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lvl w:ilvl="0">
      <w:start w:val="1"/>
      <w:numFmt w:val="upp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450" w:hanging="360"/>
      </w:pPr>
      <w:rPr>
        <w:rFonts w:ascii="Noto Sans Symbols" w:cs="Noto Sans Symbols" w:eastAsia="Noto Sans Symbols" w:hAnsi="Noto Sans Symbols"/>
        <w:sz w:val="28"/>
        <w:szCs w:val="28"/>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lowerRoman"/>
      <w:lvlText w:val="%2."/>
      <w:lvlJc w:val="left"/>
      <w:pPr>
        <w:ind w:left="1800" w:hanging="720"/>
      </w:pPr>
      <w:rPr>
        <w:b w:val="0"/>
        <w:bCs w:val="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360" w:lineRule="auto"/>
        <w:ind w:left="-270" w:right="-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jc w:val="center"/>
    </w:pPr>
    <w:rPr>
      <w:b w:val="1"/>
      <w:bCs w:val="1"/>
      <w:sz w:val="32"/>
      <w:szCs w:val="32"/>
    </w:rPr>
  </w:style>
  <w:style w:type="paragraph" w:styleId="Heading2">
    <w:name w:val="heading 2"/>
    <w:basedOn w:val="Normal"/>
    <w:next w:val="Normal"/>
    <w:pPr>
      <w:keepNext w:val="1"/>
      <w:keepLines w:val="1"/>
      <w:widowControl w:val="0"/>
      <w:tabs>
        <w:tab w:val="left" w:leader="none" w:pos="830"/>
      </w:tabs>
      <w:spacing w:after="80" w:before="360" w:line="259" w:lineRule="auto"/>
      <w:ind w:left="360" w:right="0" w:hanging="360"/>
      <w:jc w:val="left"/>
    </w:pPr>
    <w:rPr>
      <w:b w:val="1"/>
      <w:bCs w:val="1"/>
    </w:rPr>
  </w:style>
  <w:style w:type="paragraph" w:styleId="Heading3">
    <w:name w:val="heading 3"/>
    <w:basedOn w:val="Normal"/>
    <w:next w:val="Normal"/>
    <w:pPr>
      <w:keepNext w:val="1"/>
      <w:keepLines w:val="1"/>
      <w:spacing w:after="80" w:before="280" w:lineRule="auto"/>
      <w:ind w:left="360" w:hanging="360"/>
    </w:pPr>
    <w:rPr>
      <w:b w:val="1"/>
      <w:bCs w:val="1"/>
      <w:sz w:val="24"/>
      <w:szCs w:val="24"/>
    </w:rPr>
  </w:style>
  <w:style w:type="paragraph" w:styleId="Heading4">
    <w:name w:val="heading 4"/>
    <w:basedOn w:val="Normal"/>
    <w:next w:val="Normal"/>
    <w:pPr>
      <w:keepNext w:val="1"/>
      <w:keepLines w:val="1"/>
      <w:spacing w:after="40" w:before="240" w:lineRule="auto"/>
      <w:ind w:left="450" w:hanging="360"/>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