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rFonts w:ascii="Corbel" w:cs="Corbel" w:eastAsia="Corbel" w:hAnsi="Corbel"/>
          <w:b w:val="1"/>
          <w:bCs w:val="1"/>
          <w:color w:val="70ad47"/>
          <w:sz w:val="48"/>
          <w:szCs w:val="48"/>
        </w:rPr>
      </w:pPr>
      <w:r w:rsidDel="00000000" w:rsidR="00000000" w:rsidRPr="00000000">
        <w:rPr>
          <w:rFonts w:ascii="Corbel" w:cs="Corbel" w:eastAsia="Corbel" w:hAnsi="Corbel"/>
          <w:b w:val="1"/>
          <w:bCs w:val="1"/>
          <w:color w:val="70ad47"/>
          <w:sz w:val="48"/>
          <w:szCs w:val="48"/>
          <w:rtl w:val="0"/>
        </w:rPr>
        <w:t xml:space="preserve">Royal Government of Bhutan</w:t>
      </w:r>
    </w:p>
    <w:p w:rsidR="00000000" w:rsidDel="00000000" w:rsidP="00000000" w:rsidRDefault="00000000" w:rsidRPr="00000000" w14:paraId="00000004">
      <w:pPr>
        <w:jc w:val="center"/>
        <w:rPr>
          <w:rFonts w:ascii="Corbel" w:cs="Corbel" w:eastAsia="Corbel" w:hAnsi="Corbel"/>
          <w:b w:val="1"/>
          <w:bCs w:val="1"/>
          <w:color w:val="70ad47"/>
          <w:sz w:val="48"/>
          <w:szCs w:val="48"/>
        </w:rPr>
      </w:pPr>
      <w:r w:rsidDel="00000000" w:rsidR="00000000" w:rsidRPr="00000000">
        <w:rPr>
          <w:rtl w:val="0"/>
        </w:rPr>
      </w:r>
    </w:p>
    <w:p w:rsidR="00000000" w:rsidDel="00000000" w:rsidP="00000000" w:rsidRDefault="00000000" w:rsidRPr="00000000" w14:paraId="00000005">
      <w:pPr>
        <w:jc w:val="center"/>
        <w:rPr>
          <w:b w:val="1"/>
          <w:bCs w:val="1"/>
          <w:sz w:val="48"/>
          <w:szCs w:val="48"/>
        </w:rPr>
      </w:pPr>
      <w:r w:rsidDel="00000000" w:rsidR="00000000" w:rsidRPr="00000000">
        <w:rPr>
          <w:b w:val="1"/>
          <w:bCs w:val="1"/>
          <w:sz w:val="48"/>
          <w:szCs w:val="48"/>
          <w:rtl w:val="0"/>
        </w:rPr>
        <w:t xml:space="preserve">Ministry of Infrastructure and Transport (MoIT)</w:t>
      </w:r>
    </w:p>
    <w:p w:rsidR="00000000" w:rsidDel="00000000" w:rsidP="00000000" w:rsidRDefault="00000000" w:rsidRPr="00000000" w14:paraId="00000006">
      <w:pPr>
        <w:jc w:val="center"/>
        <w:rPr>
          <w:b w:val="1"/>
          <w:bCs w:val="1"/>
          <w:sz w:val="48"/>
          <w:szCs w:val="48"/>
        </w:rPr>
      </w:pPr>
      <w:r w:rsidDel="00000000" w:rsidR="00000000" w:rsidRPr="00000000">
        <w:rPr>
          <w:b w:val="1"/>
          <w:bCs w:val="1"/>
          <w:sz w:val="48"/>
          <w:szCs w:val="48"/>
          <w:rtl w:val="0"/>
        </w:rPr>
        <w:t xml:space="preserve">and </w:t>
      </w:r>
    </w:p>
    <w:p w:rsidR="00000000" w:rsidDel="00000000" w:rsidP="00000000" w:rsidRDefault="00000000" w:rsidRPr="00000000" w14:paraId="00000007">
      <w:pPr>
        <w:jc w:val="center"/>
        <w:rPr>
          <w:b w:val="1"/>
          <w:bCs w:val="1"/>
          <w:sz w:val="48"/>
          <w:szCs w:val="48"/>
        </w:rPr>
      </w:pPr>
      <w:r w:rsidDel="00000000" w:rsidR="00000000" w:rsidRPr="00000000">
        <w:rPr>
          <w:b w:val="1"/>
          <w:bCs w:val="1"/>
          <w:sz w:val="48"/>
          <w:szCs w:val="48"/>
          <w:rtl w:val="0"/>
        </w:rPr>
        <w:t xml:space="preserve">Government Technology Agency (GovTech)</w:t>
      </w:r>
    </w:p>
    <w:p w:rsidR="00000000" w:rsidDel="00000000" w:rsidP="00000000" w:rsidRDefault="00000000" w:rsidRPr="00000000" w14:paraId="00000008">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09">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0A">
      <w:pPr>
        <w:jc w:val="center"/>
        <w:rPr>
          <w:rFonts w:ascii="Corbel" w:cs="Corbel" w:eastAsia="Corbel" w:hAnsi="Corbel"/>
          <w:b w:val="1"/>
          <w:bCs w:val="1"/>
          <w:color w:val="4472c4"/>
          <w:sz w:val="40"/>
          <w:szCs w:val="40"/>
        </w:rPr>
      </w:pPr>
      <w:r w:rsidDel="00000000" w:rsidR="00000000" w:rsidRPr="00000000">
        <w:rPr>
          <w:rFonts w:ascii="Corbel" w:cs="Corbel" w:eastAsia="Corbel" w:hAnsi="Corbel"/>
          <w:b w:val="1"/>
          <w:bCs w:val="1"/>
          <w:color w:val="4472c4"/>
          <w:sz w:val="40"/>
          <w:szCs w:val="40"/>
          <w:rtl w:val="0"/>
        </w:rPr>
        <w:t xml:space="preserve">ENVIRONMENTAL and SOCIAL COMMITMENT PLAN (ESCP) </w:t>
      </w:r>
    </w:p>
    <w:p w:rsidR="00000000" w:rsidDel="00000000" w:rsidP="00000000" w:rsidRDefault="00000000" w:rsidRPr="00000000" w14:paraId="0000000B">
      <w:pPr>
        <w:jc w:val="center"/>
        <w:rPr>
          <w:rFonts w:ascii="Corbel" w:cs="Corbel" w:eastAsia="Corbel" w:hAnsi="Corbel"/>
          <w:b w:val="1"/>
          <w:bCs w:val="1"/>
          <w:color w:val="4472c4"/>
          <w:sz w:val="48"/>
          <w:szCs w:val="48"/>
        </w:rPr>
      </w:pPr>
      <w:r w:rsidDel="00000000" w:rsidR="00000000" w:rsidRPr="00000000">
        <w:rPr>
          <w:rtl w:val="0"/>
        </w:rPr>
      </w:r>
    </w:p>
    <w:p w:rsidR="00000000" w:rsidDel="00000000" w:rsidP="00000000" w:rsidRDefault="00000000" w:rsidRPr="00000000" w14:paraId="0000000C">
      <w:pPr>
        <w:jc w:val="center"/>
        <w:rPr>
          <w:rFonts w:ascii="Corbel" w:cs="Corbel" w:eastAsia="Corbel" w:hAnsi="Corbel"/>
          <w:b w:val="1"/>
          <w:bCs w:val="1"/>
          <w:color w:val="4472c4"/>
          <w:sz w:val="48"/>
          <w:szCs w:val="48"/>
        </w:rPr>
      </w:pPr>
      <w:r w:rsidDel="00000000" w:rsidR="00000000" w:rsidRPr="00000000">
        <w:rPr>
          <w:rFonts w:ascii="Corbel" w:cs="Corbel" w:eastAsia="Corbel" w:hAnsi="Corbel"/>
          <w:b w:val="1"/>
          <w:bCs w:val="1"/>
          <w:color w:val="4472c4"/>
          <w:sz w:val="48"/>
          <w:szCs w:val="48"/>
          <w:rtl w:val="0"/>
        </w:rPr>
        <w:t xml:space="preserve">Project Preparation Advance (PPA)</w:t>
      </w:r>
    </w:p>
    <w:p w:rsidR="00000000" w:rsidDel="00000000" w:rsidP="00000000" w:rsidRDefault="00000000" w:rsidRPr="00000000" w14:paraId="0000000D">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0E">
      <w:pPr>
        <w:jc w:val="center"/>
        <w:rPr>
          <w:rFonts w:ascii="Corbel" w:cs="Corbel" w:eastAsia="Corbel" w:hAnsi="Corbel"/>
          <w:b w:val="1"/>
          <w:bCs w:val="1"/>
          <w:sz w:val="48"/>
          <w:szCs w:val="48"/>
        </w:rPr>
      </w:pPr>
      <w:r w:rsidDel="00000000" w:rsidR="00000000" w:rsidRPr="00000000">
        <w:rPr>
          <w:rFonts w:ascii="Corbel" w:cs="Corbel" w:eastAsia="Corbel" w:hAnsi="Corbel"/>
          <w:b w:val="1"/>
          <w:bCs w:val="1"/>
          <w:sz w:val="48"/>
          <w:szCs w:val="48"/>
          <w:rtl w:val="0"/>
        </w:rPr>
        <w:t xml:space="preserve">Draft</w:t>
      </w:r>
    </w:p>
    <w:p w:rsidR="00000000" w:rsidDel="00000000" w:rsidP="00000000" w:rsidRDefault="00000000" w:rsidRPr="00000000" w14:paraId="0000000F">
      <w:pPr>
        <w:jc w:val="center"/>
        <w:rPr>
          <w:rFonts w:ascii="Corbel" w:cs="Corbel" w:eastAsia="Corbel" w:hAnsi="Corbel"/>
          <w:b w:val="1"/>
          <w:bCs w:val="1"/>
          <w:sz w:val="48"/>
          <w:szCs w:val="48"/>
        </w:rPr>
      </w:pPr>
      <w:r w:rsidDel="00000000" w:rsidR="00000000" w:rsidRPr="00000000">
        <w:rPr>
          <w:rFonts w:ascii="Corbel" w:cs="Corbel" w:eastAsia="Corbel" w:hAnsi="Corbel"/>
          <w:b w:val="1"/>
          <w:bCs w:val="1"/>
          <w:sz w:val="48"/>
          <w:szCs w:val="48"/>
          <w:rtl w:val="0"/>
        </w:rPr>
        <w:t xml:space="preserve">Bhutan: Accelerating Trade and Transport in Eastern South Asia (ACCESS) Project (P181278)</w:t>
      </w:r>
    </w:p>
    <w:p w:rsidR="00000000" w:rsidDel="00000000" w:rsidP="00000000" w:rsidRDefault="00000000" w:rsidRPr="00000000" w14:paraId="00000010">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11">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12">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13">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14">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15">
      <w:pPr>
        <w:jc w:val="center"/>
        <w:rPr>
          <w:rFonts w:ascii="Corbel" w:cs="Corbel" w:eastAsia="Corbel" w:hAnsi="Corbel"/>
          <w:b w:val="1"/>
          <w:bCs w:val="1"/>
        </w:rPr>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994" w:right="1166" w:header="720" w:footer="720"/>
          <w:pgNumType w:start="1"/>
          <w:titlePg w:val="1"/>
        </w:sectPr>
      </w:pPr>
      <w:r w:rsidDel="00000000" w:rsidR="00000000" w:rsidRPr="00000000">
        <w:rPr>
          <w:rFonts w:ascii="Corbel" w:cs="Corbel" w:eastAsia="Corbel" w:hAnsi="Corbel"/>
          <w:b w:val="1"/>
          <w:bCs w:val="1"/>
          <w:sz w:val="48"/>
          <w:szCs w:val="48"/>
          <w:rtl w:val="0"/>
        </w:rPr>
        <w:t xml:space="preserve">October 25, 2023</w:t>
      </w: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ENVIRONMENTAL AND SOCIAL COMMITMENT PLAN</w:t>
      </w:r>
    </w:p>
    <w:p w:rsidR="00000000" w:rsidDel="00000000" w:rsidP="00000000" w:rsidRDefault="00000000" w:rsidRPr="00000000" w14:paraId="00000018">
      <w:pPr>
        <w:jc w:val="cente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Royal Government of Bhutan (Recipient) is planning to implement the proposed Bhutan: Accelerating Trade and Transport in Eastern South Asia (ACCESS) Project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Project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the involvement of the Ministry of Infrastructure and Transport (MoIT) and Government Technology Agency (GovTech) for which it has requested a Project Preparation Advance (PPA), as set out in the PPA Agreement. The International Development Association (IDA) (hereinafter the Association) has agreed to provide the PPA to finance activities (the Activities) related to the preparation of the Project, as set out in the referred agreement.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Recipient shall ensure that the Activities are carried out in accordance with the Environmental and Social Standards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ESSs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this Environmental and Social Commitment Plan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ESCP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a manner acceptable to the Association.  The ESCP forms a part of the PPA Agreement. Unless otherwise defined in this ESCP, capitalized terms used in this ESCP have the meanings ascribed to them in the referred agreement.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Without limitation to the foregoing, this ESCP sets out material measures and actions that the Recipient shall carry out or cause to be carried out, including, as applicable, the timeframes of the actions and measures, institutional, staffing, training, monitoring, and reporting arrangements, and grievance management. The ESCP also sets out the environmental and social (E&amp;S) instruments that shall be adopted under the Activities, all of which shall be subject to prior consultation and disclosure, consistent with the ESSs, and in form and substance, and in a manner acceptable to the Association.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4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5840" w:w="12240" w:orient="portrait"/>
          <w:pgMar w:bottom="720" w:top="720" w:left="990" w:right="1170" w:header="720" w:footer="720"/>
        </w:sectPr>
      </w:pPr>
      <w:bookmarkStart w:colFirst="0" w:colLast="0" w:name="_4ryvstd8tjuk"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agreed by the Association and the Recipient, this ESCP will be revised from time to time if necessary, during the implementation of the Activities, to reflect adaptive management of changes and unforeseen circumstances related to the Activities or in response to assessment of performance of the Activities. In such circumstances, the Recipient, through the MoF, and the Association will agree to update the ESCP to reflect these changes through an exchange of letters signed between the Association and the Recipient, through the MoF. The Recipient, through MoF, shall promptly disclose the updated ESCP.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1"/>
        <w:tblW w:w="143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6300"/>
        <w:gridCol w:w="4860"/>
        <w:gridCol w:w="2520"/>
        <w:tblGridChange w:id="0">
          <w:tblGrid>
            <w:gridCol w:w="625"/>
            <w:gridCol w:w="6300"/>
            <w:gridCol w:w="4860"/>
            <w:gridCol w:w="2520"/>
          </w:tblGrid>
        </w:tblGridChange>
      </w:tblGrid>
      <w:tr>
        <w:trPr>
          <w:cantSplit w:val="0"/>
          <w:trHeight w:val="56" w:hRule="atLeast"/>
          <w:tblHeader w:val="1"/>
        </w:trPr>
        <w:tc>
          <w:tcPr>
            <w:gridSpan w:val="2"/>
            <w:tcBorders>
              <w:top w:color="000000" w:space="0" w:sz="4" w:val="single"/>
            </w:tcBorders>
            <w:shd w:fill="c5e0b3" w:val="clear"/>
          </w:tcPr>
          <w:p w:rsidR="00000000" w:rsidDel="00000000" w:rsidP="00000000" w:rsidRDefault="00000000" w:rsidRPr="00000000" w14:paraId="0000001E">
            <w:pPr>
              <w:keepLines w:val="1"/>
              <w:widowControl w:val="0"/>
              <w:spacing w:after="120" w:before="120" w:lineRule="auto"/>
              <w:rPr>
                <w:b w:val="1"/>
                <w:bCs w:val="1"/>
              </w:rPr>
            </w:pPr>
            <w:r w:rsidDel="00000000" w:rsidR="00000000" w:rsidRPr="00000000">
              <w:rPr>
                <w:b w:val="1"/>
                <w:bCs w:val="1"/>
                <w:rtl w:val="0"/>
              </w:rPr>
              <w:t xml:space="preserve">MATERIAL MEASURES AND ACTIONS  </w:t>
            </w:r>
          </w:p>
        </w:tc>
        <w:tc>
          <w:tcPr>
            <w:tcBorders>
              <w:top w:color="000000" w:space="0" w:sz="4" w:val="single"/>
            </w:tcBorders>
            <w:shd w:fill="c5e0b3" w:val="clear"/>
          </w:tcPr>
          <w:p w:rsidR="00000000" w:rsidDel="00000000" w:rsidP="00000000" w:rsidRDefault="00000000" w:rsidRPr="00000000" w14:paraId="00000020">
            <w:pPr>
              <w:keepLines w:val="1"/>
              <w:widowControl w:val="0"/>
              <w:spacing w:after="120" w:before="120" w:lineRule="auto"/>
              <w:jc w:val="center"/>
              <w:rPr>
                <w:b w:val="1"/>
                <w:bCs w:val="1"/>
              </w:rPr>
            </w:pPr>
            <w:r w:rsidDel="00000000" w:rsidR="00000000" w:rsidRPr="00000000">
              <w:rPr>
                <w:b w:val="1"/>
                <w:bCs w:val="1"/>
                <w:rtl w:val="0"/>
              </w:rPr>
              <w:t xml:space="preserve">TIMEFRAME</w:t>
            </w:r>
          </w:p>
        </w:tc>
        <w:tc>
          <w:tcPr>
            <w:tcBorders>
              <w:top w:color="000000" w:space="0" w:sz="4" w:val="single"/>
            </w:tcBorders>
            <w:shd w:fill="c5e0b3" w:val="clear"/>
          </w:tcPr>
          <w:p w:rsidR="00000000" w:rsidDel="00000000" w:rsidP="00000000" w:rsidRDefault="00000000" w:rsidRPr="00000000" w14:paraId="00000021">
            <w:pPr>
              <w:keepLines w:val="1"/>
              <w:widowControl w:val="0"/>
              <w:spacing w:after="120" w:before="120" w:lineRule="auto"/>
              <w:rPr>
                <w:b w:val="1"/>
                <w:bCs w:val="1"/>
              </w:rPr>
            </w:pPr>
            <w:r w:rsidDel="00000000" w:rsidR="00000000" w:rsidRPr="00000000">
              <w:rPr>
                <w:b w:val="1"/>
                <w:bCs w:val="1"/>
                <w:rtl w:val="0"/>
              </w:rPr>
              <w:t xml:space="preserve">RESPONSIBLE ENTITY </w:t>
            </w:r>
          </w:p>
        </w:tc>
      </w:tr>
      <w:tr>
        <w:trPr>
          <w:cantSplit w:val="0"/>
          <w:trHeight w:val="20" w:hRule="atLeast"/>
          <w:tblHeader w:val="0"/>
        </w:trPr>
        <w:tc>
          <w:tcPr>
            <w:gridSpan w:val="4"/>
            <w:tcBorders>
              <w:top w:color="000000" w:space="0" w:sz="4" w:val="single"/>
              <w:bottom w:color="000000" w:space="0" w:sz="4" w:val="single"/>
            </w:tcBorders>
            <w:shd w:fill="f4b083" w:val="clear"/>
          </w:tcPr>
          <w:p w:rsidR="00000000" w:rsidDel="00000000" w:rsidP="00000000" w:rsidRDefault="00000000" w:rsidRPr="00000000" w14:paraId="00000022">
            <w:pPr>
              <w:keepLines w:val="1"/>
              <w:widowControl w:val="0"/>
              <w:spacing w:after="120" w:before="120" w:lineRule="auto"/>
              <w:rPr>
                <w:b w:val="1"/>
                <w:bCs w:val="1"/>
              </w:rPr>
            </w:pPr>
            <w:r w:rsidDel="00000000" w:rsidR="00000000" w:rsidRPr="00000000">
              <w:rPr>
                <w:b w:val="1"/>
                <w:bCs w:val="1"/>
                <w:rtl w:val="0"/>
              </w:rPr>
              <w:t xml:space="preserve">MONITORING AND REPORTING</w:t>
            </w:r>
          </w:p>
        </w:tc>
      </w:tr>
      <w:tr>
        <w:trPr>
          <w:cantSplit w:val="0"/>
          <w:trHeight w:val="482" w:hRule="atLeast"/>
          <w:tblHeader w:val="0"/>
        </w:trPr>
        <w:tc>
          <w:tcPr>
            <w:vMerge w:val="restart"/>
            <w:tcBorders>
              <w:top w:color="000000" w:space="0" w:sz="4" w:val="single"/>
            </w:tcBorders>
          </w:tcPr>
          <w:p w:rsidR="00000000" w:rsidDel="00000000" w:rsidP="00000000" w:rsidRDefault="00000000" w:rsidRPr="00000000" w14:paraId="00000026">
            <w:pPr>
              <w:keepLines w:val="1"/>
              <w:widowControl w:val="0"/>
              <w:spacing w:after="120" w:before="120" w:lineRule="auto"/>
              <w:jc w:val="center"/>
              <w:rPr/>
            </w:pPr>
            <w:r w:rsidDel="00000000" w:rsidR="00000000" w:rsidRPr="00000000">
              <w:rPr>
                <w:rtl w:val="0"/>
              </w:rPr>
              <w:t xml:space="preserve">A</w:t>
            </w:r>
          </w:p>
        </w:tc>
        <w:tc>
          <w:tcPr>
            <w:tcBorders>
              <w:top w:color="000000" w:space="0" w:sz="4" w:val="single"/>
              <w:bottom w:color="000000" w:space="0" w:sz="0" w:val="nil"/>
            </w:tcBorders>
          </w:tcPr>
          <w:p w:rsidR="00000000" w:rsidDel="00000000" w:rsidP="00000000" w:rsidRDefault="00000000" w:rsidRPr="00000000" w14:paraId="00000027">
            <w:pPr>
              <w:keepLines w:val="1"/>
              <w:widowControl w:val="0"/>
              <w:spacing w:after="120" w:before="120" w:lineRule="auto"/>
              <w:jc w:val="both"/>
              <w:rPr>
                <w:highlight w:val="yellow"/>
              </w:rPr>
            </w:pPr>
            <w:r w:rsidDel="00000000" w:rsidR="00000000" w:rsidRPr="00000000">
              <w:rPr>
                <w:b w:val="1"/>
                <w:bCs w:val="1"/>
                <w:color w:val="4472c4"/>
                <w:rtl w:val="0"/>
              </w:rPr>
              <w:t xml:space="preserve">REGULAR REPORTING</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28">
            <w:pPr>
              <w:keepLines w:val="1"/>
              <w:widowControl w:val="0"/>
              <w:spacing w:after="120" w:before="120" w:lineRule="auto"/>
              <w:rPr>
                <w:i w:val="1"/>
                <w:iCs w:val="1"/>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29">
            <w:pPr>
              <w:keepLines w:val="1"/>
              <w:widowControl w:val="0"/>
              <w:spacing w:after="120" w:before="120" w:lineRule="auto"/>
              <w:rPr/>
            </w:pPr>
            <w:r w:rsidDel="00000000" w:rsidR="00000000" w:rsidRPr="00000000">
              <w:rPr>
                <w:rtl w:val="0"/>
              </w:rPr>
            </w:r>
          </w:p>
        </w:tc>
      </w:tr>
      <w:tr>
        <w:trPr>
          <w:cantSplit w:val="0"/>
          <w:trHeight w:val="1635" w:hRule="atLeast"/>
          <w:tblHeader w:val="0"/>
        </w:trPr>
        <w:tc>
          <w:tcPr>
            <w:vMerge w:val="continue"/>
            <w:tcBorders>
              <w:top w:color="000000" w:space="0" w:sz="4"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2B">
            <w:pPr>
              <w:keepLines w:val="1"/>
              <w:widowControl w:val="0"/>
              <w:spacing w:after="120" w:before="120" w:lineRule="auto"/>
              <w:rPr>
                <w:b w:val="1"/>
                <w:bCs w:val="1"/>
                <w:color w:val="4472c4"/>
              </w:rPr>
            </w:pPr>
            <w:r w:rsidDel="00000000" w:rsidR="00000000" w:rsidRPr="00000000">
              <w:rPr>
                <w:rtl w:val="0"/>
              </w:rPr>
              <w:t xml:space="preserve">Prepare and submit to the Association monitoring reports on the environmental, social, health and safety (ESHS) performance of the Activities, including but not limited to the implementation of the ESCP, status of E&amp;S instruments under preparation, stakeholder engagement activities, log and status of any complaints received. </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2C">
            <w:pPr>
              <w:keepLines w:val="1"/>
              <w:widowControl w:val="0"/>
              <w:spacing w:after="120" w:before="120" w:lineRule="auto"/>
              <w:rPr>
                <w:i w:val="1"/>
                <w:iCs w:val="1"/>
              </w:rPr>
            </w:pPr>
            <w:r w:rsidDel="00000000" w:rsidR="00000000" w:rsidRPr="00000000">
              <w:rPr>
                <w:i w:val="1"/>
                <w:iCs w:val="1"/>
                <w:rtl w:val="0"/>
              </w:rPr>
              <w:t xml:space="preserve">Submit quarterly reports to the Association during the implementation of the Activities commencing after the Effective Date. Submit each report to the Association no later than 15 (fifteen) working days after the end of each reporting period. </w:t>
            </w:r>
          </w:p>
        </w:tc>
        <w:tc>
          <w:tcPr>
            <w:tcBorders>
              <w:top w:color="000000" w:space="0" w:sz="0" w:val="nil"/>
              <w:bottom w:color="000000" w:space="0" w:sz="4" w:val="single"/>
            </w:tcBorders>
          </w:tcPr>
          <w:p w:rsidR="00000000" w:rsidDel="00000000" w:rsidP="00000000" w:rsidRDefault="00000000" w:rsidRPr="00000000" w14:paraId="0000002D">
            <w:pPr>
              <w:keepLines w:val="1"/>
              <w:widowControl w:val="0"/>
              <w:spacing w:after="120" w:before="120" w:lineRule="auto"/>
              <w:rPr/>
            </w:pPr>
            <w:r w:rsidDel="00000000" w:rsidR="00000000" w:rsidRPr="00000000">
              <w:rPr>
                <w:rtl w:val="0"/>
              </w:rPr>
              <w:t xml:space="preserve">MoIT, GovTech (MoIT will be the lead agency in consolidating reporting)</w:t>
            </w:r>
          </w:p>
        </w:tc>
      </w:tr>
      <w:tr>
        <w:trPr>
          <w:cantSplit w:val="0"/>
          <w:trHeight w:val="465" w:hRule="atLeast"/>
          <w:tblHeader w:val="0"/>
        </w:trPr>
        <w:tc>
          <w:tcPr>
            <w:vMerge w:val="restart"/>
            <w:tcBorders>
              <w:top w:color="000000" w:space="0" w:sz="4" w:val="single"/>
            </w:tcBorders>
          </w:tcPr>
          <w:p w:rsidR="00000000" w:rsidDel="00000000" w:rsidP="00000000" w:rsidRDefault="00000000" w:rsidRPr="00000000" w14:paraId="0000002E">
            <w:pPr>
              <w:keepLines w:val="1"/>
              <w:widowControl w:val="0"/>
              <w:spacing w:after="120" w:before="120" w:lineRule="auto"/>
              <w:jc w:val="center"/>
              <w:rPr/>
            </w:pPr>
            <w:r w:rsidDel="00000000" w:rsidR="00000000" w:rsidRPr="00000000">
              <w:rPr>
                <w:rtl w:val="0"/>
              </w:rPr>
              <w:t xml:space="preserve">B</w:t>
            </w:r>
          </w:p>
        </w:tc>
        <w:tc>
          <w:tcPr>
            <w:tcBorders>
              <w:top w:color="000000" w:space="0" w:sz="4" w:val="single"/>
              <w:bottom w:color="000000" w:space="0" w:sz="0" w:val="nil"/>
            </w:tcBorders>
          </w:tcPr>
          <w:p w:rsidR="00000000" w:rsidDel="00000000" w:rsidP="00000000" w:rsidRDefault="00000000" w:rsidRPr="00000000" w14:paraId="0000002F">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4472c4"/>
                <w:sz w:val="22"/>
                <w:szCs w:val="22"/>
                <w:u w:val="none"/>
                <w:shd w:fill="auto" w:val="clear"/>
                <w:vertAlign w:val="baseline"/>
                <w:rtl w:val="0"/>
              </w:rPr>
              <w:t xml:space="preserve">INCIDENTS AND ACCIDENTS</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30">
            <w:pPr>
              <w:keepLines w:val="1"/>
              <w:widowControl w:val="0"/>
              <w:spacing w:after="120" w:before="120" w:lineRule="auto"/>
              <w:rPr>
                <w:i w:val="1"/>
                <w:iCs w:val="1"/>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31">
            <w:pPr>
              <w:keepLines w:val="1"/>
              <w:widowControl w:val="0"/>
              <w:spacing w:after="120" w:before="120" w:lineRule="auto"/>
              <w:rPr/>
            </w:pPr>
            <w:r w:rsidDel="00000000" w:rsidR="00000000" w:rsidRPr="00000000">
              <w:rPr>
                <w:rtl w:val="0"/>
              </w:rPr>
            </w:r>
          </w:p>
        </w:tc>
      </w:tr>
      <w:tr>
        <w:trPr>
          <w:cantSplit w:val="0"/>
          <w:trHeight w:val="296" w:hRule="atLeast"/>
          <w:tblHeader w:val="0"/>
        </w:trPr>
        <w:tc>
          <w:tcPr>
            <w:vMerge w:val="continue"/>
            <w:tcBorders>
              <w:top w:color="000000" w:space="0" w:sz="4"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tcBorders>
          </w:tcPr>
          <w:p w:rsidR="00000000" w:rsidDel="00000000" w:rsidP="00000000" w:rsidRDefault="00000000" w:rsidRPr="00000000" w14:paraId="00000033">
            <w:pPr>
              <w:spacing w:after="120" w:before="120" w:lineRule="auto"/>
              <w:rPr/>
            </w:pPr>
            <w:r w:rsidDel="00000000" w:rsidR="00000000" w:rsidRPr="00000000">
              <w:rPr>
                <w:rtl w:val="0"/>
              </w:rPr>
              <w:t xml:space="preserve">Promptly notify the Association of any incident or accident related to the Activities which has, or is likely to have, a significant adverse effect on the environment, the affected communities, the public or project workers (including, inter alia, cases of sexual exploitation and abuse (SEA), sexual harassment (SH), and accidents that result in death, serious or multiple injury. Provide sufficient detail regarding the scope, severity, and possible causes of the incident or accident, indicating immediate measures taken or that are planned to be taken to address it, and any information provided by any contractor and/or supervising firm, as appropriate. </w:t>
            </w:r>
          </w:p>
          <w:p w:rsidR="00000000" w:rsidDel="00000000" w:rsidP="00000000" w:rsidRDefault="00000000" w:rsidRPr="00000000" w14:paraId="00000034">
            <w:pPr>
              <w:spacing w:after="120" w:before="120" w:lineRule="auto"/>
              <w:rPr/>
            </w:pPr>
            <w:r w:rsidDel="00000000" w:rsidR="00000000" w:rsidRPr="00000000">
              <w:rPr>
                <w:rtl w:val="0"/>
              </w:rPr>
              <w:t xml:space="preserve">Subsequently, at the Association’s request, prepare a report on the incident or accident and propose any measures to address it and prevent its recurrence. </w:t>
            </w:r>
          </w:p>
          <w:p w:rsidR="00000000" w:rsidDel="00000000" w:rsidP="00000000" w:rsidRDefault="00000000" w:rsidRPr="00000000" w14:paraId="00000035">
            <w:pPr>
              <w:spacing w:after="120" w:before="120" w:lineRule="auto"/>
              <w:rPr/>
            </w:pPr>
            <w:r w:rsidDel="00000000" w:rsidR="00000000" w:rsidRPr="00000000">
              <w:rPr>
                <w:rtl w:val="0"/>
              </w:rPr>
            </w:r>
          </w:p>
          <w:p w:rsidR="00000000" w:rsidDel="00000000" w:rsidP="00000000" w:rsidRDefault="00000000" w:rsidRPr="00000000" w14:paraId="00000036">
            <w:pPr>
              <w:spacing w:after="120" w:before="120" w:lineRule="auto"/>
              <w:rPr/>
            </w:pPr>
            <w:r w:rsidDel="00000000" w:rsidR="00000000" w:rsidRPr="00000000">
              <w:rPr>
                <w:rtl w:val="0"/>
              </w:rPr>
            </w:r>
          </w:p>
          <w:p w:rsidR="00000000" w:rsidDel="00000000" w:rsidP="00000000" w:rsidRDefault="00000000" w:rsidRPr="00000000" w14:paraId="00000037">
            <w:pPr>
              <w:spacing w:after="120" w:before="120" w:lineRule="auto"/>
              <w:rPr>
                <w:b w:val="1"/>
                <w:bCs w:val="1"/>
                <w:color w:val="4472c4"/>
              </w:rPr>
            </w:pPr>
            <w:r w:rsidDel="00000000" w:rsidR="00000000" w:rsidRPr="00000000">
              <w:rPr>
                <w:rtl w:val="0"/>
              </w:rPr>
            </w:r>
          </w:p>
        </w:tc>
        <w:tc>
          <w:tcPr>
            <w:tcBorders>
              <w:top w:color="000000" w:space="0" w:sz="0" w:val="nil"/>
            </w:tcBorders>
          </w:tcPr>
          <w:p w:rsidR="00000000" w:rsidDel="00000000" w:rsidP="00000000" w:rsidRDefault="00000000" w:rsidRPr="00000000" w14:paraId="00000038">
            <w:pPr>
              <w:keepLines w:val="1"/>
              <w:widowControl w:val="0"/>
              <w:spacing w:after="120" w:before="120" w:lineRule="auto"/>
              <w:rPr>
                <w:i w:val="1"/>
                <w:iCs w:val="1"/>
              </w:rPr>
            </w:pPr>
            <w:r w:rsidDel="00000000" w:rsidR="00000000" w:rsidRPr="00000000">
              <w:rPr>
                <w:i w:val="1"/>
                <w:iCs w:val="1"/>
                <w:rtl w:val="0"/>
              </w:rPr>
              <w:t xml:space="preserve">Notify the Association no later than 48 hours after learning of the incident or accident. </w:t>
            </w:r>
          </w:p>
          <w:p w:rsidR="00000000" w:rsidDel="00000000" w:rsidP="00000000" w:rsidRDefault="00000000" w:rsidRPr="00000000" w14:paraId="00000039">
            <w:pPr>
              <w:keepLines w:val="1"/>
              <w:widowControl w:val="0"/>
              <w:spacing w:after="120" w:before="120" w:lineRule="auto"/>
              <w:rPr>
                <w:i w:val="1"/>
                <w:iCs w:val="1"/>
              </w:rPr>
            </w:pPr>
            <w:r w:rsidDel="00000000" w:rsidR="00000000" w:rsidRPr="00000000">
              <w:rPr>
                <w:rtl w:val="0"/>
              </w:rPr>
            </w:r>
          </w:p>
          <w:p w:rsidR="00000000" w:rsidDel="00000000" w:rsidP="00000000" w:rsidRDefault="00000000" w:rsidRPr="00000000" w14:paraId="0000003A">
            <w:pPr>
              <w:keepLines w:val="1"/>
              <w:widowControl w:val="0"/>
              <w:spacing w:after="120" w:before="120" w:lineRule="auto"/>
              <w:rPr>
                <w:i w:val="1"/>
                <w:iCs w:val="1"/>
              </w:rPr>
            </w:pPr>
            <w:r w:rsidDel="00000000" w:rsidR="00000000" w:rsidRPr="00000000">
              <w:rPr>
                <w:i w:val="1"/>
                <w:iCs w:val="1"/>
                <w:rtl w:val="0"/>
              </w:rPr>
              <w:t xml:space="preserve">Provide subsequent report to the Association within a timeframe acceptable to the Association.</w:t>
            </w:r>
          </w:p>
        </w:tc>
        <w:tc>
          <w:tcPr>
            <w:tcBorders>
              <w:top w:color="000000" w:space="0" w:sz="0" w:val="nil"/>
            </w:tcBorders>
          </w:tcPr>
          <w:p w:rsidR="00000000" w:rsidDel="00000000" w:rsidP="00000000" w:rsidRDefault="00000000" w:rsidRPr="00000000" w14:paraId="0000003B">
            <w:pPr>
              <w:keepLines w:val="1"/>
              <w:widowControl w:val="0"/>
              <w:spacing w:after="120" w:before="120" w:lineRule="auto"/>
              <w:rPr/>
            </w:pPr>
            <w:r w:rsidDel="00000000" w:rsidR="00000000" w:rsidRPr="00000000">
              <w:rPr>
                <w:rtl w:val="0"/>
              </w:rPr>
              <w:t xml:space="preserve">MoIT, GovTech</w:t>
            </w:r>
          </w:p>
        </w:tc>
      </w:tr>
      <w:tr>
        <w:trPr>
          <w:cantSplit w:val="0"/>
          <w:trHeight w:val="20" w:hRule="atLeast"/>
          <w:tblHeader w:val="0"/>
        </w:trPr>
        <w:tc>
          <w:tcPr>
            <w:gridSpan w:val="4"/>
            <w:tcBorders>
              <w:top w:color="000000" w:space="0" w:sz="4" w:val="single"/>
              <w:bottom w:color="000000" w:space="0" w:sz="4" w:val="single"/>
            </w:tcBorders>
            <w:shd w:fill="f4b083" w:val="clear"/>
          </w:tcPr>
          <w:p w:rsidR="00000000" w:rsidDel="00000000" w:rsidP="00000000" w:rsidRDefault="00000000" w:rsidRPr="00000000" w14:paraId="0000003C">
            <w:pPr>
              <w:keepLines w:val="1"/>
              <w:widowControl w:val="0"/>
              <w:spacing w:after="120" w:before="120" w:lineRule="auto"/>
              <w:rPr/>
            </w:pPr>
            <w:r w:rsidDel="00000000" w:rsidR="00000000" w:rsidRPr="00000000">
              <w:rPr>
                <w:b w:val="1"/>
                <w:bCs w:val="1"/>
                <w:rtl w:val="0"/>
              </w:rPr>
              <w:t xml:space="preserve">ESS 1:  ASSESSMENT AND MANAGEMENT OF ENVIRONMENTAL AND SOCIAL RISKS AND IMPACTS</w:t>
            </w:r>
            <w:r w:rsidDel="00000000" w:rsidR="00000000" w:rsidRPr="00000000">
              <w:rPr>
                <w:rtl w:val="0"/>
              </w:rPr>
            </w:r>
          </w:p>
        </w:tc>
      </w:tr>
      <w:tr>
        <w:trPr>
          <w:cantSplit w:val="0"/>
          <w:trHeight w:val="503" w:hRule="atLeast"/>
          <w:tblHeader w:val="0"/>
        </w:trPr>
        <w:tc>
          <w:tcPr>
            <w:tcBorders>
              <w:top w:color="000000" w:space="0" w:sz="4" w:val="single"/>
              <w:left w:color="000000" w:space="0" w:sz="4" w:val="single"/>
              <w:bottom w:color="000000" w:space="0" w:sz="0" w:val="nil"/>
            </w:tcBorders>
          </w:tcPr>
          <w:p w:rsidR="00000000" w:rsidDel="00000000" w:rsidP="00000000" w:rsidRDefault="00000000" w:rsidRPr="00000000" w14:paraId="00000040">
            <w:pPr>
              <w:keepLines w:val="1"/>
              <w:widowControl w:val="0"/>
              <w:spacing w:after="120" w:before="240" w:lineRule="auto"/>
              <w:rPr/>
            </w:pPr>
            <w:r w:rsidDel="00000000" w:rsidR="00000000" w:rsidRPr="00000000">
              <w:rPr>
                <w:rtl w:val="0"/>
              </w:rPr>
              <w:t xml:space="preserve">1.1</w:t>
            </w:r>
          </w:p>
        </w:tc>
        <w:tc>
          <w:tcPr>
            <w:tcBorders>
              <w:top w:color="000000" w:space="0" w:sz="4" w:val="single"/>
              <w:bottom w:color="000000" w:space="0" w:sz="0" w:val="nil"/>
            </w:tcBorders>
          </w:tcPr>
          <w:p w:rsidR="00000000" w:rsidDel="00000000" w:rsidP="00000000" w:rsidRDefault="00000000" w:rsidRPr="00000000" w14:paraId="00000041">
            <w:pPr>
              <w:keepLines w:val="1"/>
              <w:widowControl w:val="0"/>
              <w:spacing w:after="120" w:before="240" w:lineRule="auto"/>
              <w:rPr/>
            </w:pPr>
            <w:r w:rsidDel="00000000" w:rsidR="00000000" w:rsidRPr="00000000">
              <w:rPr>
                <w:b w:val="1"/>
                <w:bCs w:val="1"/>
                <w:color w:val="5b9bd5"/>
                <w:rtl w:val="0"/>
              </w:rPr>
              <w:t xml:space="preserve">ORGANIZATIONAL STRUCTURE</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42">
            <w:pPr>
              <w:keepLines w:val="1"/>
              <w:widowControl w:val="0"/>
              <w:spacing w:after="120" w:before="120" w:lineRule="auto"/>
              <w:rPr>
                <w:i w:val="1"/>
                <w:iCs w:val="1"/>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43">
            <w:pPr>
              <w:keepLines w:val="1"/>
              <w:widowControl w:val="0"/>
              <w:spacing w:after="120" w:before="120" w:lineRule="auto"/>
              <w:rPr/>
            </w:pPr>
            <w:r w:rsidDel="00000000" w:rsidR="00000000" w:rsidRPr="00000000">
              <w:rPr>
                <w:rtl w:val="0"/>
              </w:rPr>
            </w:r>
          </w:p>
        </w:tc>
      </w:tr>
      <w:tr>
        <w:trPr>
          <w:cantSplit w:val="0"/>
          <w:trHeight w:val="20" w:hRule="atLeast"/>
          <w:tblHeader w:val="0"/>
        </w:trPr>
        <w:tc>
          <w:tcPr>
            <w:tcBorders>
              <w:top w:color="000000" w:space="0" w:sz="0" w:val="nil"/>
              <w:left w:color="000000" w:space="0" w:sz="4" w:val="single"/>
              <w:bottom w:color="000000" w:space="0" w:sz="0" w:val="nil"/>
            </w:tcBorders>
          </w:tcPr>
          <w:p w:rsidR="00000000" w:rsidDel="00000000" w:rsidP="00000000" w:rsidRDefault="00000000" w:rsidRPr="00000000" w14:paraId="00000044">
            <w:pPr>
              <w:keepLines w:val="1"/>
              <w:widowControl w:val="0"/>
              <w:spacing w:after="120" w:before="120" w:lineRule="auto"/>
              <w:jc w:val="center"/>
              <w:rPr/>
            </w:pP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045">
            <w:pPr>
              <w:keepLines w:val="1"/>
              <w:widowControl w:val="0"/>
              <w:spacing w:after="120" w:before="120" w:lineRule="auto"/>
              <w:rPr>
                <w:b w:val="1"/>
                <w:bCs w:val="1"/>
                <w:color w:val="5b9bd5"/>
              </w:rPr>
            </w:pPr>
            <w:r w:rsidDel="00000000" w:rsidR="00000000" w:rsidRPr="00000000">
              <w:rPr>
                <w:rtl w:val="0"/>
              </w:rPr>
              <w:t xml:space="preserve">Appoint an environmental and social focal point to support the management of E&amp;S risks associated with the Activities.</w:t>
            </w: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046">
            <w:pPr>
              <w:keepLines w:val="1"/>
              <w:widowControl w:val="0"/>
              <w:spacing w:after="120" w:before="120" w:lineRule="auto"/>
              <w:rPr>
                <w:i w:val="1"/>
                <w:iCs w:val="1"/>
              </w:rPr>
            </w:pPr>
            <w:r w:rsidDel="00000000" w:rsidR="00000000" w:rsidRPr="00000000">
              <w:rPr>
                <w:i w:val="1"/>
                <w:iCs w:val="1"/>
                <w:rtl w:val="0"/>
              </w:rPr>
              <w:t xml:space="preserve">Assign no later than 30 days of Agreement effectiveness</w:t>
            </w:r>
            <w:r w:rsidDel="00000000" w:rsidR="00000000" w:rsidRPr="00000000">
              <w:rPr>
                <w:rFonts w:ascii="Calibri" w:cs="Calibri" w:eastAsia="Calibri" w:hAnsi="Calibri"/>
                <w:i w:val="1"/>
                <w:iCs w:val="1"/>
                <w:rtl w:val="0"/>
              </w:rPr>
              <w:t xml:space="preserve"> and </w:t>
            </w:r>
            <w:r w:rsidDel="00000000" w:rsidR="00000000" w:rsidRPr="00000000">
              <w:rPr>
                <w:rtl w:val="0"/>
              </w:rPr>
              <w:t xml:space="preserve">maintained throughout the implementation of the Activities.  </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47">
            <w:pPr>
              <w:keepLines w:val="1"/>
              <w:widowControl w:val="0"/>
              <w:spacing w:after="120" w:before="120" w:lineRule="auto"/>
              <w:rPr/>
            </w:pPr>
            <w:r w:rsidDel="00000000" w:rsidR="00000000" w:rsidRPr="00000000">
              <w:rPr>
                <w:rtl w:val="0"/>
              </w:rPr>
              <w:t xml:space="preserve">MoIT</w:t>
            </w:r>
          </w:p>
        </w:tc>
      </w:tr>
      <w:tr>
        <w:trPr>
          <w:cantSplit w:val="0"/>
          <w:trHeight w:val="20" w:hRule="atLeast"/>
          <w:tblHeader w:val="0"/>
        </w:trPr>
        <w:tc>
          <w:tcPr>
            <w:tcBorders>
              <w:top w:color="000000" w:space="0" w:sz="0" w:val="nil"/>
              <w:left w:color="000000" w:space="0" w:sz="4" w:val="single"/>
              <w:bottom w:color="000000" w:space="0" w:sz="4" w:val="single"/>
            </w:tcBorders>
          </w:tcPr>
          <w:p w:rsidR="00000000" w:rsidDel="00000000" w:rsidP="00000000" w:rsidRDefault="00000000" w:rsidRPr="00000000" w14:paraId="00000048">
            <w:pPr>
              <w:keepLines w:val="1"/>
              <w:widowControl w:val="0"/>
              <w:spacing w:after="120" w:before="120" w:lineRule="auto"/>
              <w:jc w:val="center"/>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4B">
            <w:pPr>
              <w:keepLines w:val="1"/>
              <w:widowControl w:val="0"/>
              <w:spacing w:after="120" w:before="120" w:lineRule="auto"/>
              <w:rPr/>
            </w:pPr>
            <w:r w:rsidDel="00000000" w:rsidR="00000000" w:rsidRPr="00000000">
              <w:rPr>
                <w:rtl w:val="0"/>
              </w:rPr>
            </w:r>
          </w:p>
        </w:tc>
      </w:tr>
      <w:tr>
        <w:trPr>
          <w:cantSplit w:val="0"/>
          <w:trHeight w:val="467" w:hRule="atLeast"/>
          <w:tblHeader w:val="0"/>
        </w:trPr>
        <w:tc>
          <w:tcPr>
            <w:vMerge w:val="restart"/>
          </w:tcPr>
          <w:p w:rsidR="00000000" w:rsidDel="00000000" w:rsidP="00000000" w:rsidRDefault="00000000" w:rsidRPr="00000000" w14:paraId="0000004C">
            <w:pPr>
              <w:spacing w:after="120" w:before="120" w:lineRule="auto"/>
              <w:rPr/>
            </w:pPr>
            <w:r w:rsidDel="00000000" w:rsidR="00000000" w:rsidRPr="00000000">
              <w:rPr>
                <w:rtl w:val="0"/>
              </w:rPr>
              <w:t xml:space="preserve">1.2</w:t>
            </w:r>
          </w:p>
        </w:tc>
        <w:tc>
          <w:tcPr>
            <w:tcBorders>
              <w:bottom w:color="000000" w:space="0" w:sz="0" w:val="nil"/>
            </w:tcBorders>
          </w:tcPr>
          <w:p w:rsidR="00000000" w:rsidDel="00000000" w:rsidP="00000000" w:rsidRDefault="00000000" w:rsidRPr="00000000" w14:paraId="0000004D">
            <w:pPr>
              <w:spacing w:after="120" w:before="120" w:lineRule="auto"/>
              <w:rPr/>
            </w:pPr>
            <w:r w:rsidDel="00000000" w:rsidR="00000000" w:rsidRPr="00000000">
              <w:rPr>
                <w:b w:val="1"/>
                <w:bCs w:val="1"/>
                <w:color w:val="5b9bd5"/>
                <w:rtl w:val="0"/>
              </w:rPr>
              <w:t xml:space="preserve">TECHNICAL ASSISTANCE</w:t>
            </w:r>
            <w:r w:rsidDel="00000000" w:rsidR="00000000" w:rsidRPr="00000000">
              <w:rPr>
                <w:rtl w:val="0"/>
              </w:rPr>
            </w:r>
          </w:p>
        </w:tc>
        <w:tc>
          <w:tcPr>
            <w:vMerge w:val="restart"/>
          </w:tcPr>
          <w:p w:rsidR="00000000" w:rsidDel="00000000" w:rsidP="00000000" w:rsidRDefault="00000000" w:rsidRPr="00000000" w14:paraId="0000004E">
            <w:pPr>
              <w:spacing w:after="120" w:before="120" w:lineRule="auto"/>
              <w:rPr>
                <w:i w:val="1"/>
                <w:iCs w:val="1"/>
              </w:rPr>
            </w:pPr>
            <w:r w:rsidDel="00000000" w:rsidR="00000000" w:rsidRPr="00000000">
              <w:rPr>
                <w:rtl w:val="0"/>
              </w:rPr>
            </w:r>
          </w:p>
          <w:p w:rsidR="00000000" w:rsidDel="00000000" w:rsidP="00000000" w:rsidRDefault="00000000" w:rsidRPr="00000000" w14:paraId="0000004F">
            <w:pPr>
              <w:rPr>
                <w:i w:val="1"/>
                <w:iCs w:val="1"/>
              </w:rPr>
            </w:pPr>
            <w:r w:rsidDel="00000000" w:rsidR="00000000" w:rsidRPr="00000000">
              <w:rPr>
                <w:rtl w:val="0"/>
              </w:rPr>
            </w:r>
          </w:p>
          <w:p w:rsidR="00000000" w:rsidDel="00000000" w:rsidP="00000000" w:rsidRDefault="00000000" w:rsidRPr="00000000" w14:paraId="00000050">
            <w:pPr>
              <w:rPr>
                <w:i w:val="1"/>
                <w:iCs w:val="1"/>
              </w:rPr>
            </w:pPr>
            <w:r w:rsidDel="00000000" w:rsidR="00000000" w:rsidRPr="00000000">
              <w:rPr>
                <w:i w:val="1"/>
                <w:iCs w:val="1"/>
                <w:rtl w:val="0"/>
              </w:rPr>
              <w:t xml:space="preserve">Throughout implementation of the Activities </w:t>
            </w:r>
          </w:p>
          <w:p w:rsidR="00000000" w:rsidDel="00000000" w:rsidP="00000000" w:rsidRDefault="00000000" w:rsidRPr="00000000" w14:paraId="00000051">
            <w:pPr>
              <w:rPr>
                <w:i w:val="1"/>
                <w:iCs w:val="1"/>
              </w:rPr>
            </w:pPr>
            <w:r w:rsidDel="00000000" w:rsidR="00000000" w:rsidRPr="00000000">
              <w:rPr>
                <w:rtl w:val="0"/>
              </w:rPr>
            </w:r>
          </w:p>
          <w:p w:rsidR="00000000" w:rsidDel="00000000" w:rsidP="00000000" w:rsidRDefault="00000000" w:rsidRPr="00000000" w14:paraId="00000052">
            <w:pPr>
              <w:rPr>
                <w:i w:val="1"/>
                <w:iCs w:val="1"/>
              </w:rPr>
            </w:pPr>
            <w:r w:rsidDel="00000000" w:rsidR="00000000" w:rsidRPr="00000000">
              <w:rPr>
                <w:rtl w:val="0"/>
              </w:rPr>
            </w:r>
          </w:p>
          <w:p w:rsidR="00000000" w:rsidDel="00000000" w:rsidP="00000000" w:rsidRDefault="00000000" w:rsidRPr="00000000" w14:paraId="00000053">
            <w:pPr>
              <w:rPr>
                <w:i w:val="1"/>
                <w:iCs w:val="1"/>
              </w:rPr>
            </w:pPr>
            <w:r w:rsidDel="00000000" w:rsidR="00000000" w:rsidRPr="00000000">
              <w:rPr>
                <w:rtl w:val="0"/>
              </w:rPr>
            </w:r>
          </w:p>
          <w:p w:rsidR="00000000" w:rsidDel="00000000" w:rsidP="00000000" w:rsidRDefault="00000000" w:rsidRPr="00000000" w14:paraId="00000054">
            <w:pPr>
              <w:rPr>
                <w:i w:val="1"/>
                <w:iCs w:val="1"/>
              </w:rPr>
            </w:pPr>
            <w:r w:rsidDel="00000000" w:rsidR="00000000" w:rsidRPr="00000000">
              <w:rPr>
                <w:rtl w:val="0"/>
              </w:rPr>
            </w:r>
          </w:p>
          <w:p w:rsidR="00000000" w:rsidDel="00000000" w:rsidP="00000000" w:rsidRDefault="00000000" w:rsidRPr="00000000" w14:paraId="00000055">
            <w:pPr>
              <w:rPr>
                <w:i w:val="1"/>
                <w:iCs w:val="1"/>
              </w:rPr>
            </w:pPr>
            <w:r w:rsidDel="00000000" w:rsidR="00000000" w:rsidRPr="00000000">
              <w:rPr>
                <w:i w:val="1"/>
                <w:iCs w:val="1"/>
                <w:rtl w:val="0"/>
              </w:rPr>
              <w:t xml:space="preserve">Four months before the Board </w:t>
            </w:r>
          </w:p>
          <w:p w:rsidR="00000000" w:rsidDel="00000000" w:rsidP="00000000" w:rsidRDefault="00000000" w:rsidRPr="00000000" w14:paraId="00000056">
            <w:pPr>
              <w:rPr>
                <w:i w:val="1"/>
                <w:iCs w:val="1"/>
              </w:rPr>
            </w:pPr>
            <w:r w:rsidDel="00000000" w:rsidR="00000000" w:rsidRPr="00000000">
              <w:rPr>
                <w:rtl w:val="0"/>
              </w:rPr>
            </w:r>
          </w:p>
          <w:p w:rsidR="00000000" w:rsidDel="00000000" w:rsidP="00000000" w:rsidRDefault="00000000" w:rsidRPr="00000000" w14:paraId="00000057">
            <w:pPr>
              <w:rPr>
                <w:i w:val="1"/>
                <w:iCs w:val="1"/>
              </w:rPr>
            </w:pPr>
            <w:r w:rsidDel="00000000" w:rsidR="00000000" w:rsidRPr="00000000">
              <w:rPr>
                <w:rtl w:val="0"/>
              </w:rPr>
            </w:r>
          </w:p>
          <w:p w:rsidR="00000000" w:rsidDel="00000000" w:rsidP="00000000" w:rsidRDefault="00000000" w:rsidRPr="00000000" w14:paraId="00000058">
            <w:pPr>
              <w:rPr>
                <w:i w:val="1"/>
                <w:iCs w:val="1"/>
              </w:rPr>
            </w:pPr>
            <w:r w:rsidDel="00000000" w:rsidR="00000000" w:rsidRPr="00000000">
              <w:rPr>
                <w:rtl w:val="0"/>
              </w:rPr>
            </w:r>
          </w:p>
          <w:p w:rsidR="00000000" w:rsidDel="00000000" w:rsidP="00000000" w:rsidRDefault="00000000" w:rsidRPr="00000000" w14:paraId="00000059">
            <w:pPr>
              <w:rPr>
                <w:i w:val="1"/>
                <w:iCs w:val="1"/>
              </w:rPr>
            </w:pPr>
            <w:r w:rsidDel="00000000" w:rsidR="00000000" w:rsidRPr="00000000">
              <w:rPr>
                <w:rtl w:val="0"/>
              </w:rPr>
            </w:r>
          </w:p>
          <w:p w:rsidR="00000000" w:rsidDel="00000000" w:rsidP="00000000" w:rsidRDefault="00000000" w:rsidRPr="00000000" w14:paraId="0000005A">
            <w:pPr>
              <w:rPr>
                <w:i w:val="1"/>
                <w:iCs w:val="1"/>
              </w:rPr>
            </w:pPr>
            <w:r w:rsidDel="00000000" w:rsidR="00000000" w:rsidRPr="00000000">
              <w:rPr>
                <w:rtl w:val="0"/>
              </w:rPr>
            </w:r>
          </w:p>
          <w:p w:rsidR="00000000" w:rsidDel="00000000" w:rsidP="00000000" w:rsidRDefault="00000000" w:rsidRPr="00000000" w14:paraId="0000005B">
            <w:pPr>
              <w:rPr>
                <w:i w:val="1"/>
                <w:iCs w:val="1"/>
              </w:rPr>
            </w:pPr>
            <w:r w:rsidDel="00000000" w:rsidR="00000000" w:rsidRPr="00000000">
              <w:rPr>
                <w:i w:val="1"/>
                <w:iCs w:val="1"/>
                <w:rtl w:val="0"/>
              </w:rPr>
              <w:t xml:space="preserve">Four months before the Board </w:t>
            </w:r>
          </w:p>
          <w:p w:rsidR="00000000" w:rsidDel="00000000" w:rsidP="00000000" w:rsidRDefault="00000000" w:rsidRPr="00000000" w14:paraId="0000005C">
            <w:pPr>
              <w:rPr>
                <w:i w:val="1"/>
                <w:iCs w:val="1"/>
              </w:rPr>
            </w:pPr>
            <w:r w:rsidDel="00000000" w:rsidR="00000000" w:rsidRPr="00000000">
              <w:rPr>
                <w:rtl w:val="0"/>
              </w:rPr>
            </w:r>
          </w:p>
          <w:p w:rsidR="00000000" w:rsidDel="00000000" w:rsidP="00000000" w:rsidRDefault="00000000" w:rsidRPr="00000000" w14:paraId="0000005D">
            <w:pPr>
              <w:rPr>
                <w:i w:val="1"/>
                <w:iCs w:val="1"/>
              </w:rPr>
            </w:pPr>
            <w:r w:rsidDel="00000000" w:rsidR="00000000" w:rsidRPr="00000000">
              <w:rPr>
                <w:rtl w:val="0"/>
              </w:rPr>
            </w:r>
          </w:p>
          <w:p w:rsidR="00000000" w:rsidDel="00000000" w:rsidP="00000000" w:rsidRDefault="00000000" w:rsidRPr="00000000" w14:paraId="0000005E">
            <w:pPr>
              <w:rPr>
                <w:i w:val="1"/>
                <w:iCs w:val="1"/>
              </w:rPr>
            </w:pPr>
            <w:r w:rsidDel="00000000" w:rsidR="00000000" w:rsidRPr="00000000">
              <w:rPr>
                <w:rtl w:val="0"/>
              </w:rPr>
            </w:r>
          </w:p>
          <w:p w:rsidR="00000000" w:rsidDel="00000000" w:rsidP="00000000" w:rsidRDefault="00000000" w:rsidRPr="00000000" w14:paraId="0000005F">
            <w:pPr>
              <w:rPr>
                <w:i w:val="1"/>
                <w:iCs w:val="1"/>
              </w:rPr>
            </w:pPr>
            <w:r w:rsidDel="00000000" w:rsidR="00000000" w:rsidRPr="00000000">
              <w:rPr>
                <w:rtl w:val="0"/>
              </w:rPr>
            </w:r>
          </w:p>
          <w:p w:rsidR="00000000" w:rsidDel="00000000" w:rsidP="00000000" w:rsidRDefault="00000000" w:rsidRPr="00000000" w14:paraId="00000060">
            <w:pPr>
              <w:rPr>
                <w:i w:val="1"/>
                <w:iCs w:val="1"/>
              </w:rPr>
            </w:pPr>
            <w:r w:rsidDel="00000000" w:rsidR="00000000" w:rsidRPr="00000000">
              <w:rPr>
                <w:rtl w:val="0"/>
              </w:rPr>
            </w:r>
          </w:p>
          <w:p w:rsidR="00000000" w:rsidDel="00000000" w:rsidP="00000000" w:rsidRDefault="00000000" w:rsidRPr="00000000" w14:paraId="00000061">
            <w:pPr>
              <w:rPr>
                <w:i w:val="1"/>
                <w:iCs w:val="1"/>
              </w:rPr>
            </w:pPr>
            <w:r w:rsidDel="00000000" w:rsidR="00000000" w:rsidRPr="00000000">
              <w:rPr>
                <w:rtl w:val="0"/>
              </w:rPr>
            </w:r>
          </w:p>
          <w:p w:rsidR="00000000" w:rsidDel="00000000" w:rsidP="00000000" w:rsidRDefault="00000000" w:rsidRPr="00000000" w14:paraId="00000062">
            <w:pPr>
              <w:rPr>
                <w:i w:val="1"/>
                <w:iCs w:val="1"/>
              </w:rPr>
            </w:pPr>
            <w:r w:rsidDel="00000000" w:rsidR="00000000" w:rsidRPr="00000000">
              <w:rPr>
                <w:rtl w:val="0"/>
              </w:rPr>
            </w:r>
          </w:p>
          <w:p w:rsidR="00000000" w:rsidDel="00000000" w:rsidP="00000000" w:rsidRDefault="00000000" w:rsidRPr="00000000" w14:paraId="00000063">
            <w:pPr>
              <w:rPr>
                <w:i w:val="1"/>
                <w:iCs w:val="1"/>
              </w:rPr>
            </w:pPr>
            <w:r w:rsidDel="00000000" w:rsidR="00000000" w:rsidRPr="00000000">
              <w:rPr>
                <w:rtl w:val="0"/>
              </w:rPr>
            </w:r>
          </w:p>
          <w:p w:rsidR="00000000" w:rsidDel="00000000" w:rsidP="00000000" w:rsidRDefault="00000000" w:rsidRPr="00000000" w14:paraId="00000064">
            <w:pPr>
              <w:rPr>
                <w:i w:val="1"/>
                <w:iCs w:val="1"/>
              </w:rPr>
            </w:pPr>
            <w:r w:rsidDel="00000000" w:rsidR="00000000" w:rsidRPr="00000000">
              <w:rPr>
                <w:rtl w:val="0"/>
              </w:rPr>
            </w:r>
          </w:p>
          <w:p w:rsidR="00000000" w:rsidDel="00000000" w:rsidP="00000000" w:rsidRDefault="00000000" w:rsidRPr="00000000" w14:paraId="00000065">
            <w:pPr>
              <w:rPr>
                <w:i w:val="1"/>
                <w:iCs w:val="1"/>
              </w:rPr>
            </w:pPr>
            <w:r w:rsidDel="00000000" w:rsidR="00000000" w:rsidRPr="00000000">
              <w:rPr>
                <w:rtl w:val="0"/>
              </w:rPr>
            </w:r>
          </w:p>
          <w:p w:rsidR="00000000" w:rsidDel="00000000" w:rsidP="00000000" w:rsidRDefault="00000000" w:rsidRPr="00000000" w14:paraId="00000066">
            <w:pPr>
              <w:rPr>
                <w:i w:val="1"/>
                <w:iCs w:val="1"/>
              </w:rPr>
            </w:pPr>
            <w:r w:rsidDel="00000000" w:rsidR="00000000" w:rsidRPr="00000000">
              <w:rPr>
                <w:rtl w:val="0"/>
              </w:rPr>
            </w:r>
          </w:p>
          <w:p w:rsidR="00000000" w:rsidDel="00000000" w:rsidP="00000000" w:rsidRDefault="00000000" w:rsidRPr="00000000" w14:paraId="00000067">
            <w:pPr>
              <w:rPr>
                <w:i w:val="1"/>
                <w:iCs w:val="1"/>
              </w:rPr>
            </w:pPr>
            <w:r w:rsidDel="00000000" w:rsidR="00000000" w:rsidRPr="00000000">
              <w:rPr>
                <w:rtl w:val="0"/>
              </w:rPr>
            </w:r>
          </w:p>
          <w:p w:rsidR="00000000" w:rsidDel="00000000" w:rsidP="00000000" w:rsidRDefault="00000000" w:rsidRPr="00000000" w14:paraId="00000068">
            <w:pPr>
              <w:rPr>
                <w:i w:val="1"/>
                <w:iCs w:val="1"/>
              </w:rPr>
            </w:pPr>
            <w:r w:rsidDel="00000000" w:rsidR="00000000" w:rsidRPr="00000000">
              <w:rPr>
                <w:i w:val="1"/>
                <w:iCs w:val="1"/>
                <w:rtl w:val="0"/>
              </w:rPr>
              <w:t xml:space="preserve">Four months before the Board</w:t>
            </w:r>
          </w:p>
          <w:p w:rsidR="00000000" w:rsidDel="00000000" w:rsidP="00000000" w:rsidRDefault="00000000" w:rsidRPr="00000000" w14:paraId="00000069">
            <w:pPr>
              <w:rPr>
                <w:i w:val="1"/>
                <w:iCs w:val="1"/>
              </w:rPr>
            </w:pPr>
            <w:r w:rsidDel="00000000" w:rsidR="00000000" w:rsidRPr="00000000">
              <w:rPr>
                <w:rtl w:val="0"/>
              </w:rPr>
            </w:r>
          </w:p>
          <w:p w:rsidR="00000000" w:rsidDel="00000000" w:rsidP="00000000" w:rsidRDefault="00000000" w:rsidRPr="00000000" w14:paraId="0000006A">
            <w:pPr>
              <w:rPr>
                <w:i w:val="1"/>
                <w:iCs w:val="1"/>
              </w:rPr>
            </w:pPr>
            <w:r w:rsidDel="00000000" w:rsidR="00000000" w:rsidRPr="00000000">
              <w:rPr>
                <w:rtl w:val="0"/>
              </w:rPr>
            </w:r>
          </w:p>
          <w:p w:rsidR="00000000" w:rsidDel="00000000" w:rsidP="00000000" w:rsidRDefault="00000000" w:rsidRPr="00000000" w14:paraId="0000006B">
            <w:pPr>
              <w:rPr>
                <w:i w:val="1"/>
                <w:iCs w:val="1"/>
              </w:rPr>
            </w:pPr>
            <w:r w:rsidDel="00000000" w:rsidR="00000000" w:rsidRPr="00000000">
              <w:rPr>
                <w:rtl w:val="0"/>
              </w:rPr>
            </w:r>
          </w:p>
          <w:p w:rsidR="00000000" w:rsidDel="00000000" w:rsidP="00000000" w:rsidRDefault="00000000" w:rsidRPr="00000000" w14:paraId="0000006C">
            <w:pPr>
              <w:rPr>
                <w:i w:val="1"/>
                <w:iCs w:val="1"/>
              </w:rPr>
            </w:pPr>
            <w:r w:rsidDel="00000000" w:rsidR="00000000" w:rsidRPr="00000000">
              <w:rPr>
                <w:rtl w:val="0"/>
              </w:rPr>
            </w:r>
          </w:p>
          <w:p w:rsidR="00000000" w:rsidDel="00000000" w:rsidP="00000000" w:rsidRDefault="00000000" w:rsidRPr="00000000" w14:paraId="0000006D">
            <w:pPr>
              <w:rPr>
                <w:i w:val="1"/>
                <w:iCs w:val="1"/>
              </w:rPr>
            </w:pPr>
            <w:r w:rsidDel="00000000" w:rsidR="00000000" w:rsidRPr="00000000">
              <w:rPr>
                <w:rtl w:val="0"/>
              </w:rPr>
            </w:r>
          </w:p>
          <w:p w:rsidR="00000000" w:rsidDel="00000000" w:rsidP="00000000" w:rsidRDefault="00000000" w:rsidRPr="00000000" w14:paraId="0000006E">
            <w:pPr>
              <w:rPr>
                <w:i w:val="1"/>
                <w:iCs w:val="1"/>
              </w:rPr>
            </w:pPr>
            <w:r w:rsidDel="00000000" w:rsidR="00000000" w:rsidRPr="00000000">
              <w:rPr>
                <w:rtl w:val="0"/>
              </w:rPr>
            </w:r>
          </w:p>
          <w:p w:rsidR="00000000" w:rsidDel="00000000" w:rsidP="00000000" w:rsidRDefault="00000000" w:rsidRPr="00000000" w14:paraId="0000006F">
            <w:pPr>
              <w:rPr>
                <w:i w:val="1"/>
                <w:iCs w:val="1"/>
              </w:rPr>
            </w:pPr>
            <w:r w:rsidDel="00000000" w:rsidR="00000000" w:rsidRPr="00000000">
              <w:rPr>
                <w:rtl w:val="0"/>
              </w:rPr>
            </w:r>
          </w:p>
          <w:p w:rsidR="00000000" w:rsidDel="00000000" w:rsidP="00000000" w:rsidRDefault="00000000" w:rsidRPr="00000000" w14:paraId="00000070">
            <w:pPr>
              <w:rPr>
                <w:i w:val="1"/>
                <w:iCs w:val="1"/>
              </w:rPr>
            </w:pPr>
            <w:r w:rsidDel="00000000" w:rsidR="00000000" w:rsidRPr="00000000">
              <w:rPr>
                <w:rtl w:val="0"/>
              </w:rPr>
            </w:r>
          </w:p>
          <w:p w:rsidR="00000000" w:rsidDel="00000000" w:rsidP="00000000" w:rsidRDefault="00000000" w:rsidRPr="00000000" w14:paraId="00000071">
            <w:pPr>
              <w:rPr>
                <w:i w:val="1"/>
                <w:iCs w:val="1"/>
              </w:rPr>
            </w:pPr>
            <w:r w:rsidDel="00000000" w:rsidR="00000000" w:rsidRPr="00000000">
              <w:rPr>
                <w:rtl w:val="0"/>
              </w:rPr>
            </w:r>
          </w:p>
          <w:p w:rsidR="00000000" w:rsidDel="00000000" w:rsidP="00000000" w:rsidRDefault="00000000" w:rsidRPr="00000000" w14:paraId="00000072">
            <w:pPr>
              <w:rPr>
                <w:i w:val="1"/>
                <w:iCs w:val="1"/>
              </w:rPr>
            </w:pPr>
            <w:r w:rsidDel="00000000" w:rsidR="00000000" w:rsidRPr="00000000">
              <w:rPr>
                <w:i w:val="1"/>
                <w:iCs w:val="1"/>
                <w:rtl w:val="0"/>
              </w:rPr>
              <w:t xml:space="preserve">Before initiation of bidding process</w:t>
            </w:r>
          </w:p>
          <w:p w:rsidR="00000000" w:rsidDel="00000000" w:rsidP="00000000" w:rsidRDefault="00000000" w:rsidRPr="00000000" w14:paraId="00000073">
            <w:pPr>
              <w:rPr>
                <w:i w:val="1"/>
                <w:iCs w:val="1"/>
              </w:rPr>
            </w:pPr>
            <w:r w:rsidDel="00000000" w:rsidR="00000000" w:rsidRPr="00000000">
              <w:rPr>
                <w:rtl w:val="0"/>
              </w:rPr>
            </w:r>
          </w:p>
          <w:p w:rsidR="00000000" w:rsidDel="00000000" w:rsidP="00000000" w:rsidRDefault="00000000" w:rsidRPr="00000000" w14:paraId="00000074">
            <w:pPr>
              <w:rPr>
                <w:i w:val="1"/>
                <w:iCs w:val="1"/>
              </w:rPr>
            </w:pPr>
            <w:r w:rsidDel="00000000" w:rsidR="00000000" w:rsidRPr="00000000">
              <w:rPr>
                <w:rtl w:val="0"/>
              </w:rPr>
            </w:r>
          </w:p>
          <w:p w:rsidR="00000000" w:rsidDel="00000000" w:rsidP="00000000" w:rsidRDefault="00000000" w:rsidRPr="00000000" w14:paraId="00000075">
            <w:pPr>
              <w:rPr>
                <w:i w:val="1"/>
                <w:iCs w:val="1"/>
              </w:rPr>
            </w:pPr>
            <w:r w:rsidDel="00000000" w:rsidR="00000000" w:rsidRPr="00000000">
              <w:rPr>
                <w:rtl w:val="0"/>
              </w:rPr>
            </w:r>
          </w:p>
          <w:p w:rsidR="00000000" w:rsidDel="00000000" w:rsidP="00000000" w:rsidRDefault="00000000" w:rsidRPr="00000000" w14:paraId="00000076">
            <w:pPr>
              <w:rPr>
                <w:i w:val="1"/>
                <w:iCs w:val="1"/>
              </w:rPr>
            </w:pPr>
            <w:r w:rsidDel="00000000" w:rsidR="00000000" w:rsidRPr="00000000">
              <w:rPr>
                <w:i w:val="1"/>
                <w:iCs w:val="1"/>
                <w:rtl w:val="0"/>
              </w:rPr>
              <w:t xml:space="preserve">Before the Board</w:t>
            </w:r>
          </w:p>
          <w:p w:rsidR="00000000" w:rsidDel="00000000" w:rsidP="00000000" w:rsidRDefault="00000000" w:rsidRPr="00000000" w14:paraId="00000077">
            <w:pPr>
              <w:rPr>
                <w:i w:val="1"/>
                <w:iCs w:val="1"/>
              </w:rPr>
            </w:pPr>
            <w:r w:rsidDel="00000000" w:rsidR="00000000" w:rsidRPr="00000000">
              <w:rPr>
                <w:rtl w:val="0"/>
              </w:rPr>
            </w:r>
          </w:p>
          <w:p w:rsidR="00000000" w:rsidDel="00000000" w:rsidP="00000000" w:rsidRDefault="00000000" w:rsidRPr="00000000" w14:paraId="00000078">
            <w:pPr>
              <w:rPr>
                <w:i w:val="1"/>
                <w:iCs w:val="1"/>
              </w:rPr>
            </w:pPr>
            <w:r w:rsidDel="00000000" w:rsidR="00000000" w:rsidRPr="00000000">
              <w:rPr>
                <w:rtl w:val="0"/>
              </w:rPr>
            </w:r>
          </w:p>
          <w:p w:rsidR="00000000" w:rsidDel="00000000" w:rsidP="00000000" w:rsidRDefault="00000000" w:rsidRPr="00000000" w14:paraId="00000079">
            <w:pPr>
              <w:rPr>
                <w:i w:val="1"/>
                <w:iCs w:val="1"/>
              </w:rPr>
            </w:pPr>
            <w:r w:rsidDel="00000000" w:rsidR="00000000" w:rsidRPr="00000000">
              <w:rPr>
                <w:rtl w:val="0"/>
              </w:rPr>
            </w:r>
          </w:p>
          <w:p w:rsidR="00000000" w:rsidDel="00000000" w:rsidP="00000000" w:rsidRDefault="00000000" w:rsidRPr="00000000" w14:paraId="0000007A">
            <w:pPr>
              <w:rPr>
                <w:i w:val="1"/>
                <w:iCs w:val="1"/>
              </w:rPr>
            </w:pPr>
            <w:r w:rsidDel="00000000" w:rsidR="00000000" w:rsidRPr="00000000">
              <w:rPr>
                <w:i w:val="1"/>
                <w:iCs w:val="1"/>
                <w:rtl w:val="0"/>
              </w:rPr>
              <w:t xml:space="preserve">Before Effectiveness</w:t>
            </w:r>
          </w:p>
        </w:tc>
        <w:tc>
          <w:tcPr>
            <w:tcBorders>
              <w:bottom w:color="000000" w:space="0" w:sz="0" w:val="nil"/>
            </w:tcBorders>
          </w:tcPr>
          <w:p w:rsidR="00000000" w:rsidDel="00000000" w:rsidP="00000000" w:rsidRDefault="00000000" w:rsidRPr="00000000" w14:paraId="0000007B">
            <w:pPr>
              <w:spacing w:after="120" w:before="120" w:lineRule="auto"/>
              <w:rPr/>
            </w:pPr>
            <w:r w:rsidDel="00000000" w:rsidR="00000000" w:rsidRPr="00000000">
              <w:rPr>
                <w:rtl w:val="0"/>
              </w:rPr>
            </w:r>
          </w:p>
        </w:tc>
      </w:tr>
      <w:tr>
        <w:trPr>
          <w:cantSplit w:val="0"/>
          <w:trHeight w:val="2415" w:hRule="atLeast"/>
          <w:tblHeader w:val="0"/>
        </w:trPr>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07D">
            <w:pPr>
              <w:spacing w:after="120" w:before="120" w:lineRule="auto"/>
              <w:rPr/>
            </w:pPr>
            <w:r w:rsidDel="00000000" w:rsidR="00000000" w:rsidRPr="00000000">
              <w:rPr>
                <w:rtl w:val="0"/>
              </w:rPr>
              <w:t xml:space="preserve">Ensure that the consultancies (including feasibility studies), capacity building, training, and any other technical assistance activities under the Activities, including the following, inter alia, are carried out in accordance with terms of reference acceptable to the Association, that are consistent with the ESSs (1-10). </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preparation of the Environmental and Social Management Framework (ESMF) Resettlement Policy Framework (RPF) , Labour Management Procedures (LMP) and Stakeholder Engagement Plan (SEP) for the ACCESS Project for low-moderate risk sub-projects overall,</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initiate (i) the stakeholder and expert discussion to define the Valued Environmental and Social Component (VECs such as Asian Elephants / wildlife human conflict) that are likely to be affected beyond the Direct Area of Impact (DIA) of the two-well defined projects namely the Gelephu-Tareythang Road Link and the Boxcut Bypass Road, and (ii) assess their current state / baseline condition. These VECs and assessment of selected VECs baseline condition will be fundamental for the development of the Cumulative Impacts Assessment (CIA) to be performed at a later time.  This task can be incorporated within project-specific ESIA ToRs and performed by the same consultants if that facilitates procurement process. </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preparation of Environmental and Social Impact Assessments (ESIAs) for (i) Gelephu-Tareythang Road Link and (ii) Boxcut Bypass Road. The ESMPs of these two ESIAs shall capitalize on information gathered in the previous task and include key measures to mitigate these two subprojects’ respective contributions to potential cumulative impacts over the selected VECs (e.g. Asia Elephants, their habitat /movement/threats; northern corridor connectivity; forest cover, land use, etc).</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preparation of Resettlement Action Plans (RAP) for (i) Boxcut Bypass Road and (ii) Gelephu-Tareythang Road Link.</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Skills/capacity gap assessment including assessment of grievance redress mechanisms (GRMs), both internal and external, and </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preparation of other relevant studies (technical preparations for Digital Systems Trade, Green and Resilient Infrastructure, and Institutional and Policy Strengthening for Transport and Trade). </w:t>
            </w:r>
          </w:p>
          <w:p w:rsidR="00000000" w:rsidDel="00000000" w:rsidP="00000000" w:rsidRDefault="00000000" w:rsidRPr="00000000" w14:paraId="00000084">
            <w:pPr>
              <w:spacing w:after="120" w:before="120" w:lineRule="auto"/>
              <w:rPr>
                <w:b w:val="1"/>
                <w:bCs w:val="1"/>
                <w:color w:val="5b9bd5"/>
              </w:rPr>
            </w:pPr>
            <w:r w:rsidDel="00000000" w:rsidR="00000000" w:rsidRPr="00000000">
              <w:rPr>
                <w:rtl w:val="0"/>
              </w:rPr>
              <w:t xml:space="preserve">Thereafter ensure that the outputs of such activities comply with the terms of references (ToRs). </w:t>
            </w:r>
            <w:r w:rsidDel="00000000" w:rsidR="00000000" w:rsidRPr="00000000">
              <w:rPr>
                <w:rtl w:val="0"/>
              </w:rPr>
            </w:r>
          </w:p>
        </w:tc>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5b9bd5"/>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6">
            <w:pPr>
              <w:spacing w:after="120" w:before="120" w:lineRule="auto"/>
              <w:rPr/>
            </w:pPr>
            <w:r w:rsidDel="00000000" w:rsidR="00000000" w:rsidRPr="00000000">
              <w:rPr>
                <w:rtl w:val="0"/>
              </w:rPr>
              <w:t xml:space="preserve">MoIT, GovTech</w:t>
            </w:r>
          </w:p>
        </w:tc>
      </w:tr>
      <w:tr>
        <w:trPr>
          <w:cantSplit w:val="0"/>
          <w:trHeight w:val="20" w:hRule="atLeast"/>
          <w:tblHeader w:val="0"/>
        </w:trPr>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tcBorders>
          </w:tcPr>
          <w:p w:rsidR="00000000" w:rsidDel="00000000" w:rsidP="00000000" w:rsidRDefault="00000000" w:rsidRPr="00000000" w14:paraId="0000008A">
            <w:pPr>
              <w:rPr/>
            </w:pPr>
            <w:r w:rsidDel="00000000" w:rsidR="00000000" w:rsidRPr="00000000">
              <w:rPr>
                <w:rtl w:val="0"/>
              </w:rPr>
            </w:r>
          </w:p>
        </w:tc>
      </w:tr>
      <w:tr>
        <w:trPr>
          <w:cantSplit w:val="0"/>
          <w:trHeight w:val="20" w:hRule="atLeast"/>
          <w:tblHeader w:val="0"/>
        </w:trPr>
        <w:tc>
          <w:tcPr>
            <w:gridSpan w:val="4"/>
            <w:shd w:fill="f4b083" w:val="clear"/>
          </w:tcPr>
          <w:p w:rsidR="00000000" w:rsidDel="00000000" w:rsidP="00000000" w:rsidRDefault="00000000" w:rsidRPr="00000000" w14:paraId="0000008B">
            <w:pPr>
              <w:keepLines w:val="1"/>
              <w:widowControl w:val="0"/>
              <w:spacing w:after="120" w:before="120" w:lineRule="auto"/>
              <w:rPr/>
            </w:pPr>
            <w:r w:rsidDel="00000000" w:rsidR="00000000" w:rsidRPr="00000000">
              <w:rPr>
                <w:b w:val="1"/>
                <w:bCs w:val="1"/>
                <w:rtl w:val="0"/>
              </w:rPr>
              <w:t xml:space="preserve">ESS 2:  LABOR AND WORKING CONDITIONS  </w:t>
            </w:r>
            <w:r w:rsidDel="00000000" w:rsidR="00000000" w:rsidRPr="00000000">
              <w:rPr>
                <w:rtl w:val="0"/>
              </w:rPr>
            </w:r>
          </w:p>
        </w:tc>
      </w:tr>
      <w:tr>
        <w:trPr>
          <w:cantSplit w:val="0"/>
          <w:trHeight w:val="510" w:hRule="atLeast"/>
          <w:tblHeader w:val="0"/>
        </w:trPr>
        <w:tc>
          <w:tcPr>
            <w:vMerge w:val="restart"/>
          </w:tcPr>
          <w:p w:rsidR="00000000" w:rsidDel="00000000" w:rsidP="00000000" w:rsidRDefault="00000000" w:rsidRPr="00000000" w14:paraId="0000008F">
            <w:pPr>
              <w:keepLines w:val="1"/>
              <w:widowControl w:val="0"/>
              <w:spacing w:after="120" w:before="120" w:lineRule="auto"/>
              <w:rPr/>
            </w:pPr>
            <w:r w:rsidDel="00000000" w:rsidR="00000000" w:rsidRPr="00000000">
              <w:rPr>
                <w:rtl w:val="0"/>
              </w:rPr>
              <w:t xml:space="preserve">2.1</w:t>
            </w:r>
          </w:p>
        </w:tc>
        <w:tc>
          <w:tcPr>
            <w:tcBorders>
              <w:bottom w:color="000000" w:space="0" w:sz="0" w:val="nil"/>
            </w:tcBorders>
          </w:tcPr>
          <w:p w:rsidR="00000000" w:rsidDel="00000000" w:rsidP="00000000" w:rsidRDefault="00000000" w:rsidRPr="00000000" w14:paraId="00000090">
            <w:pPr>
              <w:keepLines w:val="1"/>
              <w:widowControl w:val="0"/>
              <w:spacing w:after="120" w:before="120" w:lineRule="auto"/>
              <w:rPr/>
            </w:pPr>
            <w:r w:rsidDel="00000000" w:rsidR="00000000" w:rsidRPr="00000000">
              <w:rPr>
                <w:b w:val="1"/>
                <w:bCs w:val="1"/>
                <w:color w:val="4472c4"/>
                <w:rtl w:val="0"/>
              </w:rPr>
              <w:t xml:space="preserve">LABOR MANAGEMENT PROCEDURES</w:t>
            </w:r>
            <w:r w:rsidDel="00000000" w:rsidR="00000000" w:rsidRPr="00000000">
              <w:rPr>
                <w:rtl w:val="0"/>
              </w:rPr>
            </w:r>
          </w:p>
        </w:tc>
        <w:tc>
          <w:tcPr>
            <w:tcBorders>
              <w:bottom w:color="000000" w:space="0" w:sz="0" w:val="nil"/>
            </w:tcBorders>
          </w:tcPr>
          <w:p w:rsidR="00000000" w:rsidDel="00000000" w:rsidP="00000000" w:rsidRDefault="00000000" w:rsidRPr="00000000" w14:paraId="00000091">
            <w:pPr>
              <w:keepLines w:val="1"/>
              <w:widowControl w:val="0"/>
              <w:spacing w:after="120" w:before="120" w:lineRule="auto"/>
              <w:jc w:val="both"/>
              <w:rPr>
                <w:b w:val="1"/>
                <w:bCs w:val="1"/>
              </w:rPr>
            </w:pPr>
            <w:r w:rsidDel="00000000" w:rsidR="00000000" w:rsidRPr="00000000">
              <w:rPr>
                <w:rtl w:val="0"/>
              </w:rPr>
            </w:r>
          </w:p>
        </w:tc>
        <w:tc>
          <w:tcPr>
            <w:tcBorders>
              <w:bottom w:color="000000" w:space="0" w:sz="0" w:val="nil"/>
            </w:tcBorders>
          </w:tcPr>
          <w:p w:rsidR="00000000" w:rsidDel="00000000" w:rsidP="00000000" w:rsidRDefault="00000000" w:rsidRPr="00000000" w14:paraId="00000092">
            <w:pPr>
              <w:keepLines w:val="1"/>
              <w:widowControl w:val="0"/>
              <w:spacing w:after="120" w:before="120" w:lineRule="auto"/>
              <w:rPr>
                <w:b w:val="1"/>
                <w:bCs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000000" w:space="0" w:sz="0" w:val="nil"/>
            </w:tcBorders>
          </w:tcPr>
          <w:p w:rsidR="00000000" w:rsidDel="00000000" w:rsidP="00000000" w:rsidRDefault="00000000" w:rsidRPr="00000000" w14:paraId="00000094">
            <w:pPr>
              <w:keepLines w:val="1"/>
              <w:widowControl w:val="0"/>
              <w:spacing w:after="120" w:before="120" w:lineRule="auto"/>
              <w:rPr/>
            </w:pPr>
            <w:r w:rsidDel="00000000" w:rsidR="00000000" w:rsidRPr="00000000">
              <w:rPr>
                <w:rtl w:val="0"/>
              </w:rPr>
              <w:t xml:space="preserve">Ensure that the following measures are carried out consistent with ESS 2:</w:t>
            </w:r>
          </w:p>
          <w:p w:rsidR="00000000" w:rsidDel="00000000" w:rsidP="00000000" w:rsidRDefault="00000000" w:rsidRPr="00000000" w14:paraId="00000095">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40" w:right="0" w:hanging="36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workers with information and documentation that is clear and understandable regarding their terms and conditions of employment through written contracts setting out their rights, including, inter alia, rights related to hours of work, wages, overtime, compensation and benefits, as well as written notice of termination of employment, and details of severance payments, as applicable.</w:t>
            </w:r>
          </w:p>
          <w:p w:rsidR="00000000" w:rsidDel="00000000" w:rsidP="00000000" w:rsidRDefault="00000000" w:rsidRPr="00000000" w14:paraId="00000096">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40" w:right="0" w:hanging="36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 occupational health and safety (including personal protective equipment, and emergency preparedness and response) measures, taking into account the General Environmental, Health and Safety Guidelines (EHSGs), and other relevant Good International Industry Practice (GIIP) and, as appropriate, the industry specific EHSGs and other Good International Industry Practice (GIIP).</w:t>
            </w:r>
          </w:p>
          <w:p w:rsidR="00000000" w:rsidDel="00000000" w:rsidP="00000000" w:rsidRDefault="00000000" w:rsidRPr="00000000" w14:paraId="00000097">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40" w:right="0" w:hanging="36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 measures, as applicable, to, inter alia: (i) prevent the use of all forms of forced labor and child labor; (ii) enable workers to benefit from, inter alia, access to grievance and redress mechanisms without fear of retaliation; and effective freedom to form and join workers organizations or alternative mechanisms for expressing their concerns and protect their rights related to labor and working conditions.</w:t>
            </w:r>
          </w:p>
          <w:p w:rsidR="00000000" w:rsidDel="00000000" w:rsidP="00000000" w:rsidRDefault="00000000" w:rsidRPr="00000000" w14:paraId="00000098">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40" w:right="0" w:hanging="36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a code of conduct for workers, which shall include measures to prevent and respond to SEA and SH cases. and</w:t>
            </w:r>
          </w:p>
          <w:p w:rsidR="00000000" w:rsidDel="00000000" w:rsidP="00000000" w:rsidRDefault="00000000" w:rsidRPr="00000000" w14:paraId="00000099">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40" w:right="0" w:hanging="360"/>
              <w:jc w:val="left"/>
              <w:rPr>
                <w:rFonts w:ascii="Arial" w:cs="Arial" w:eastAsia="Arial" w:hAnsi="Arial"/>
                <w:i w:val="0"/>
                <w:iCs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Incorporate the relevant requirements above in the ESHS specifications of the procurement documents and contracts with third parties that engage workers in the implementation of the Activities.</w:t>
            </w:r>
            <w:r w:rsidDel="00000000" w:rsidR="00000000" w:rsidRPr="00000000">
              <w:rPr>
                <w:rtl w:val="0"/>
              </w:rPr>
            </w:r>
          </w:p>
        </w:tc>
        <w:tc>
          <w:tcPr>
            <w:tcBorders>
              <w:top w:color="000000" w:space="0" w:sz="0" w:val="nil"/>
            </w:tcBorders>
          </w:tcPr>
          <w:p w:rsidR="00000000" w:rsidDel="00000000" w:rsidP="00000000" w:rsidRDefault="00000000" w:rsidRPr="00000000" w14:paraId="0000009A">
            <w:pPr>
              <w:keepLines w:val="1"/>
              <w:widowControl w:val="0"/>
              <w:spacing w:after="120" w:before="120" w:lineRule="auto"/>
              <w:jc w:val="both"/>
              <w:rPr>
                <w:i w:val="1"/>
                <w:iCs w:val="1"/>
              </w:rPr>
            </w:pPr>
            <w:r w:rsidDel="00000000" w:rsidR="00000000" w:rsidRPr="00000000">
              <w:rPr>
                <w:i w:val="1"/>
                <w:iCs w:val="1"/>
                <w:rtl w:val="0"/>
              </w:rPr>
              <w:t xml:space="preserve">Carry out the measures throughout the implementation of the Activities.</w:t>
            </w:r>
          </w:p>
          <w:p w:rsidR="00000000" w:rsidDel="00000000" w:rsidP="00000000" w:rsidRDefault="00000000" w:rsidRPr="00000000" w14:paraId="0000009B">
            <w:pPr>
              <w:keepLines w:val="1"/>
              <w:widowControl w:val="0"/>
              <w:spacing w:after="120" w:before="120" w:lineRule="auto"/>
              <w:jc w:val="both"/>
              <w:rPr/>
            </w:pPr>
            <w:r w:rsidDel="00000000" w:rsidR="00000000" w:rsidRPr="00000000">
              <w:rPr>
                <w:rtl w:val="0"/>
              </w:rPr>
            </w:r>
          </w:p>
        </w:tc>
        <w:tc>
          <w:tcPr>
            <w:tcBorders>
              <w:top w:color="000000" w:space="0" w:sz="0" w:val="nil"/>
            </w:tcBorders>
          </w:tcPr>
          <w:p w:rsidR="00000000" w:rsidDel="00000000" w:rsidP="00000000" w:rsidRDefault="00000000" w:rsidRPr="00000000" w14:paraId="0000009C">
            <w:pPr>
              <w:keepLines w:val="1"/>
              <w:widowControl w:val="0"/>
              <w:spacing w:after="120" w:before="120" w:lineRule="auto"/>
              <w:rPr/>
            </w:pPr>
            <w:r w:rsidDel="00000000" w:rsidR="00000000" w:rsidRPr="00000000">
              <w:rPr>
                <w:rtl w:val="0"/>
              </w:rPr>
              <w:t xml:space="preserve">MoIT, GovTech</w:t>
            </w:r>
          </w:p>
        </w:tc>
      </w:tr>
      <w:tr>
        <w:trPr>
          <w:cantSplit w:val="0"/>
          <w:trHeight w:val="20" w:hRule="atLeast"/>
          <w:tblHeader w:val="0"/>
        </w:trPr>
        <w:tc>
          <w:tcPr>
            <w:gridSpan w:val="4"/>
            <w:shd w:fill="f4b083" w:val="clear"/>
          </w:tcPr>
          <w:p w:rsidR="00000000" w:rsidDel="00000000" w:rsidP="00000000" w:rsidRDefault="00000000" w:rsidRPr="00000000" w14:paraId="0000009D">
            <w:pPr>
              <w:keepLines w:val="1"/>
              <w:widowControl w:val="0"/>
              <w:spacing w:after="120" w:before="120" w:lineRule="auto"/>
              <w:rPr>
                <w:b w:val="1"/>
                <w:bCs w:val="1"/>
              </w:rPr>
            </w:pPr>
            <w:r w:rsidDel="00000000" w:rsidR="00000000" w:rsidRPr="00000000">
              <w:rPr>
                <w:b w:val="1"/>
                <w:bCs w:val="1"/>
                <w:rtl w:val="0"/>
              </w:rPr>
              <w:t xml:space="preserve">ESS 3 to ESS 9</w:t>
            </w:r>
          </w:p>
        </w:tc>
      </w:tr>
      <w:tr>
        <w:trPr>
          <w:cantSplit w:val="0"/>
          <w:trHeight w:val="926" w:hRule="atLeast"/>
          <w:tblHeader w:val="0"/>
        </w:trPr>
        <w:tc>
          <w:tcPr/>
          <w:p w:rsidR="00000000" w:rsidDel="00000000" w:rsidP="00000000" w:rsidRDefault="00000000" w:rsidRPr="00000000" w14:paraId="000000A1">
            <w:pPr>
              <w:keepLines w:val="1"/>
              <w:widowControl w:val="0"/>
              <w:spacing w:after="120" w:before="120" w:lineRule="auto"/>
              <w:rPr>
                <w:b w:val="1"/>
                <w:bCs w:val="1"/>
              </w:rPr>
            </w:pPr>
            <w:r w:rsidDel="00000000" w:rsidR="00000000" w:rsidRPr="00000000">
              <w:rPr>
                <w:rtl w:val="0"/>
              </w:rPr>
              <w:t xml:space="preserve">3.1</w:t>
            </w:r>
            <w:r w:rsidDel="00000000" w:rsidR="00000000" w:rsidRPr="00000000">
              <w:rPr>
                <w:rtl w:val="0"/>
              </w:rPr>
            </w:r>
          </w:p>
        </w:tc>
        <w:tc>
          <w:tcPr/>
          <w:p w:rsidR="00000000" w:rsidDel="00000000" w:rsidP="00000000" w:rsidRDefault="00000000" w:rsidRPr="00000000" w14:paraId="000000A2">
            <w:pPr>
              <w:keepLines w:val="1"/>
              <w:widowControl w:val="0"/>
              <w:spacing w:after="120" w:before="120" w:lineRule="auto"/>
              <w:rPr/>
            </w:pPr>
            <w:r w:rsidDel="00000000" w:rsidR="00000000" w:rsidRPr="00000000">
              <w:rPr>
                <w:rtl w:val="0"/>
              </w:rPr>
              <w:t xml:space="preserve">Relevant aspects of these standards shall be considered in the technical assistance activities under action 1.2. above, as relevant.</w:t>
            </w:r>
          </w:p>
        </w:tc>
        <w:tc>
          <w:tcPr/>
          <w:p w:rsidR="00000000" w:rsidDel="00000000" w:rsidP="00000000" w:rsidRDefault="00000000" w:rsidRPr="00000000" w14:paraId="000000A3">
            <w:pPr>
              <w:keepLines w:val="1"/>
              <w:widowControl w:val="0"/>
              <w:spacing w:after="120" w:before="120" w:lineRule="auto"/>
              <w:rPr>
                <w:b w:val="1"/>
                <w:bCs w:val="1"/>
                <w:i w:val="1"/>
                <w:iCs w:val="1"/>
              </w:rPr>
            </w:pPr>
            <w:r w:rsidDel="00000000" w:rsidR="00000000" w:rsidRPr="00000000">
              <w:rPr>
                <w:i w:val="1"/>
                <w:iCs w:val="1"/>
                <w:rtl w:val="0"/>
              </w:rPr>
              <w:t xml:space="preserve">Same timeframe as for Action 1.2 Technical Assistance.</w:t>
            </w:r>
            <w:r w:rsidDel="00000000" w:rsidR="00000000" w:rsidRPr="00000000">
              <w:rPr>
                <w:rtl w:val="0"/>
              </w:rPr>
            </w:r>
          </w:p>
        </w:tc>
        <w:tc>
          <w:tcPr/>
          <w:p w:rsidR="00000000" w:rsidDel="00000000" w:rsidP="00000000" w:rsidRDefault="00000000" w:rsidRPr="00000000" w14:paraId="000000A4">
            <w:pPr>
              <w:keepLines w:val="1"/>
              <w:widowControl w:val="0"/>
              <w:spacing w:after="120" w:before="120" w:lineRule="auto"/>
              <w:rPr>
                <w:b w:val="1"/>
                <w:bCs w:val="1"/>
              </w:rPr>
            </w:pPr>
            <w:r w:rsidDel="00000000" w:rsidR="00000000" w:rsidRPr="00000000">
              <w:rPr>
                <w:rtl w:val="0"/>
              </w:rPr>
              <w:t xml:space="preserve">MoIT, GovTech</w:t>
            </w:r>
            <w:r w:rsidDel="00000000" w:rsidR="00000000" w:rsidRPr="00000000">
              <w:rPr>
                <w:rtl w:val="0"/>
              </w:rPr>
            </w:r>
          </w:p>
        </w:tc>
      </w:tr>
      <w:tr>
        <w:trPr>
          <w:cantSplit w:val="0"/>
          <w:trHeight w:val="20" w:hRule="atLeast"/>
          <w:tblHeader w:val="0"/>
        </w:trPr>
        <w:tc>
          <w:tcPr>
            <w:gridSpan w:val="4"/>
            <w:tcBorders>
              <w:bottom w:color="000000" w:space="0" w:sz="4" w:val="single"/>
            </w:tcBorders>
            <w:shd w:fill="f4b083" w:val="clear"/>
          </w:tcPr>
          <w:p w:rsidR="00000000" w:rsidDel="00000000" w:rsidP="00000000" w:rsidRDefault="00000000" w:rsidRPr="00000000" w14:paraId="000000A5">
            <w:pPr>
              <w:keepLines w:val="1"/>
              <w:widowControl w:val="0"/>
              <w:spacing w:after="120" w:before="120" w:lineRule="auto"/>
              <w:rPr>
                <w:b w:val="1"/>
                <w:bCs w:val="1"/>
              </w:rPr>
            </w:pPr>
            <w:r w:rsidDel="00000000" w:rsidR="00000000" w:rsidRPr="00000000">
              <w:rPr>
                <w:b w:val="1"/>
                <w:bCs w:val="1"/>
                <w:rtl w:val="0"/>
              </w:rPr>
              <w:t xml:space="preserve">ESS 10: STAKEHOLDER ENGAGEMENT AND INFORMATION DISCLOSURE</w:t>
            </w:r>
          </w:p>
        </w:tc>
      </w:tr>
      <w:tr>
        <w:trPr>
          <w:cantSplit w:val="0"/>
          <w:trHeight w:val="500" w:hRule="atLeast"/>
          <w:tblHeader w:val="0"/>
        </w:trPr>
        <w:tc>
          <w:tcPr>
            <w:vMerge w:val="restart"/>
          </w:tcPr>
          <w:p w:rsidR="00000000" w:rsidDel="00000000" w:rsidP="00000000" w:rsidRDefault="00000000" w:rsidRPr="00000000" w14:paraId="000000A9">
            <w:pPr>
              <w:keepLines w:val="1"/>
              <w:widowControl w:val="0"/>
              <w:spacing w:after="120" w:before="120" w:lineRule="auto"/>
              <w:rPr>
                <w:b w:val="1"/>
                <w:bCs w:val="1"/>
              </w:rPr>
            </w:pPr>
            <w:r w:rsidDel="00000000" w:rsidR="00000000" w:rsidRPr="00000000">
              <w:rPr>
                <w:rtl w:val="0"/>
              </w:rPr>
              <w:t xml:space="preserve">10.1</w:t>
            </w:r>
            <w:r w:rsidDel="00000000" w:rsidR="00000000" w:rsidRPr="00000000">
              <w:rPr>
                <w:rtl w:val="0"/>
              </w:rPr>
            </w:r>
          </w:p>
        </w:tc>
        <w:tc>
          <w:tcPr>
            <w:tcBorders>
              <w:bottom w:color="000000" w:space="0" w:sz="0" w:val="nil"/>
            </w:tcBorders>
          </w:tcPr>
          <w:p w:rsidR="00000000" w:rsidDel="00000000" w:rsidP="00000000" w:rsidRDefault="00000000" w:rsidRPr="00000000" w14:paraId="000000A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13"/>
              </w:tabs>
              <w:spacing w:after="120" w:before="12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STAKEHOLDER ENGAGEMENT AND INFORMATION DISCLOSURE</w:t>
            </w:r>
          </w:p>
        </w:tc>
        <w:tc>
          <w:tcPr>
            <w:tcBorders>
              <w:bottom w:color="000000" w:space="0" w:sz="0" w:val="nil"/>
            </w:tcBorders>
          </w:tcPr>
          <w:p w:rsidR="00000000" w:rsidDel="00000000" w:rsidP="00000000" w:rsidRDefault="00000000" w:rsidRPr="00000000" w14:paraId="000000AB">
            <w:pPr>
              <w:keepLines w:val="1"/>
              <w:widowControl w:val="0"/>
              <w:spacing w:after="120" w:before="120" w:lineRule="auto"/>
              <w:rPr>
                <w:b w:val="1"/>
                <w:bCs w:val="1"/>
              </w:rPr>
            </w:pPr>
            <w:r w:rsidDel="00000000" w:rsidR="00000000" w:rsidRPr="00000000">
              <w:rPr>
                <w:rtl w:val="0"/>
              </w:rPr>
            </w:r>
          </w:p>
        </w:tc>
        <w:tc>
          <w:tcPr>
            <w:tcBorders>
              <w:bottom w:color="000000" w:space="0" w:sz="0" w:val="nil"/>
            </w:tcBorders>
          </w:tcPr>
          <w:p w:rsidR="00000000" w:rsidDel="00000000" w:rsidP="00000000" w:rsidRDefault="00000000" w:rsidRPr="00000000" w14:paraId="000000AC">
            <w:pPr>
              <w:keepLines w:val="1"/>
              <w:widowControl w:val="0"/>
              <w:spacing w:after="120" w:before="120" w:lineRule="aut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0A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13"/>
              </w:tabs>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Incorporate stakeholder engagement and information disclosure measures in the implementation of the Activities, in a manner consistent with ESS10. </w:t>
            </w:r>
          </w:p>
          <w:p w:rsidR="00000000" w:rsidDel="00000000" w:rsidP="00000000" w:rsidRDefault="00000000" w:rsidRPr="00000000" w14:paraId="000000A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13"/>
              </w:tabs>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this end, ensure that the following measures are implemented:</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stakeholders with information about the environmental and social risks and impacts of the Activities in a timely, understandable, accessible and appropriate manner and format, including but not limited to any environmental and social instruments prepared as part of the Activities;</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Consult stakeholders in a culturally appropriate manner, which is free of manipulation, interference, coercion, discrimination and intimidation, including with regards to any environmental and social instruments prepared as part of the Activities.</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Document the stakeholder engagement activities, including: (i) stakeholder mapping; (ii) description of consultations and participation mechanisms utilized, and records of meetings held; (ii) feedback received and responses to said feedback; and (iv) measures to engage stakeholders who, because of their particular circumstances, may be disadvantaged or vulnerable. </w:t>
            </w:r>
          </w:p>
        </w:tc>
        <w:tc>
          <w:tcPr>
            <w:tcBorders>
              <w:top w:color="000000" w:space="0" w:sz="0" w:val="nil"/>
              <w:bottom w:color="000000" w:space="0" w:sz="0" w:val="nil"/>
            </w:tcBorders>
          </w:tcPr>
          <w:p w:rsidR="00000000" w:rsidDel="00000000" w:rsidP="00000000" w:rsidRDefault="00000000" w:rsidRPr="00000000" w14:paraId="000000B3">
            <w:pPr>
              <w:keepLines w:val="1"/>
              <w:widowControl w:val="0"/>
              <w:spacing w:after="120" w:before="120" w:lineRule="auto"/>
              <w:rPr>
                <w:i w:val="1"/>
                <w:iCs w:val="1"/>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4">
            <w:pPr>
              <w:keepLines w:val="1"/>
              <w:widowControl w:val="0"/>
              <w:spacing w:after="120" w:before="120" w:lineRule="aut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B7">
            <w:pPr>
              <w:keepLines w:val="1"/>
              <w:widowControl w:val="0"/>
              <w:spacing w:after="120" w:before="120" w:lineRule="auto"/>
              <w:jc w:val="both"/>
              <w:rPr>
                <w:i w:val="1"/>
                <w:iCs w:val="1"/>
              </w:rPr>
            </w:pPr>
            <w:r w:rsidDel="00000000" w:rsidR="00000000" w:rsidRPr="00000000">
              <w:rPr>
                <w:rtl w:val="0"/>
              </w:rPr>
            </w:r>
          </w:p>
          <w:p w:rsidR="00000000" w:rsidDel="00000000" w:rsidP="00000000" w:rsidRDefault="00000000" w:rsidRPr="00000000" w14:paraId="000000B8">
            <w:pPr>
              <w:keepLines w:val="1"/>
              <w:widowControl w:val="0"/>
              <w:spacing w:after="120" w:before="120" w:lineRule="auto"/>
              <w:jc w:val="both"/>
              <w:rPr>
                <w:i w:val="1"/>
                <w:iCs w:val="1"/>
              </w:rPr>
            </w:pPr>
            <w:r w:rsidDel="00000000" w:rsidR="00000000" w:rsidRPr="00000000">
              <w:rPr>
                <w:i w:val="1"/>
                <w:iCs w:val="1"/>
                <w:color w:val="000000"/>
                <w:rtl w:val="0"/>
              </w:rPr>
              <w:t xml:space="preserve">Implement the stakeholder engagement activities throughout the implementation of the Activities</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B9">
            <w:pPr>
              <w:keepLines w:val="1"/>
              <w:widowControl w:val="0"/>
              <w:spacing w:after="120" w:before="120" w:lineRule="auto"/>
              <w:rPr/>
            </w:pPr>
            <w:r w:rsidDel="00000000" w:rsidR="00000000" w:rsidRPr="00000000">
              <w:rPr>
                <w:rtl w:val="0"/>
              </w:rPr>
              <w:t xml:space="preserve">MoIT, GovTech</w:t>
            </w:r>
          </w:p>
        </w:tc>
      </w:tr>
      <w:tr>
        <w:trPr>
          <w:cantSplit w:val="0"/>
          <w:trHeight w:val="435" w:hRule="atLeast"/>
          <w:tblHeader w:val="0"/>
        </w:trPr>
        <w:tc>
          <w:tcPr>
            <w:vMerge w:val="restart"/>
          </w:tcPr>
          <w:p w:rsidR="00000000" w:rsidDel="00000000" w:rsidP="00000000" w:rsidRDefault="00000000" w:rsidRPr="00000000" w14:paraId="000000BA">
            <w:pPr>
              <w:spacing w:after="120" w:before="120" w:lineRule="auto"/>
              <w:rPr>
                <w:b w:val="1"/>
                <w:bCs w:val="1"/>
              </w:rPr>
            </w:pPr>
            <w:r w:rsidDel="00000000" w:rsidR="00000000" w:rsidRPr="00000000">
              <w:rPr>
                <w:rtl w:val="0"/>
              </w:rPr>
              <w:t xml:space="preserve">10.2</w:t>
            </w:r>
            <w:r w:rsidDel="00000000" w:rsidR="00000000" w:rsidRPr="00000000">
              <w:rPr>
                <w:rtl w:val="0"/>
              </w:rPr>
            </w:r>
          </w:p>
        </w:tc>
        <w:tc>
          <w:tcPr>
            <w:tcBorders>
              <w:bottom w:color="000000" w:space="0" w:sz="0" w:val="nil"/>
            </w:tcBorders>
          </w:tcPr>
          <w:p w:rsidR="00000000" w:rsidDel="00000000" w:rsidP="00000000" w:rsidRDefault="00000000" w:rsidRPr="00000000" w14:paraId="000000BB">
            <w:pPr>
              <w:spacing w:after="120" w:before="120" w:lineRule="auto"/>
              <w:rPr/>
            </w:pPr>
            <w:r w:rsidDel="00000000" w:rsidR="00000000" w:rsidRPr="00000000">
              <w:rPr>
                <w:b w:val="1"/>
                <w:bCs w:val="1"/>
                <w:color w:val="4472c4"/>
                <w:rtl w:val="0"/>
              </w:rPr>
              <w:t xml:space="preserve">GRIEVANCES</w:t>
            </w:r>
            <w:r w:rsidDel="00000000" w:rsidR="00000000" w:rsidRPr="00000000">
              <w:rPr>
                <w:rtl w:val="0"/>
              </w:rPr>
            </w:r>
          </w:p>
        </w:tc>
        <w:tc>
          <w:tcPr>
            <w:tcBorders>
              <w:bottom w:color="000000" w:space="0" w:sz="0" w:val="nil"/>
            </w:tcBorders>
          </w:tcPr>
          <w:p w:rsidR="00000000" w:rsidDel="00000000" w:rsidP="00000000" w:rsidRDefault="00000000" w:rsidRPr="00000000" w14:paraId="000000BC">
            <w:pPr>
              <w:spacing w:after="120" w:before="120" w:lineRule="auto"/>
              <w:rPr/>
            </w:pPr>
            <w:r w:rsidDel="00000000" w:rsidR="00000000" w:rsidRPr="00000000">
              <w:rPr>
                <w:rtl w:val="0"/>
              </w:rPr>
            </w:r>
          </w:p>
        </w:tc>
        <w:tc>
          <w:tcPr>
            <w:tcBorders>
              <w:bottom w:color="000000" w:space="0" w:sz="0" w:val="nil"/>
            </w:tcBorders>
          </w:tcPr>
          <w:p w:rsidR="00000000" w:rsidDel="00000000" w:rsidP="00000000" w:rsidRDefault="00000000" w:rsidRPr="00000000" w14:paraId="000000BD">
            <w:pPr>
              <w:spacing w:after="120" w:before="120" w:lineRule="aut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tcBorders>
          </w:tcPr>
          <w:p w:rsidR="00000000" w:rsidDel="00000000" w:rsidP="00000000" w:rsidRDefault="00000000" w:rsidRPr="00000000" w14:paraId="000000BF">
            <w:pPr>
              <w:spacing w:after="120" w:before="120" w:lineRule="auto"/>
              <w:rPr>
                <w:b w:val="1"/>
                <w:bCs w:val="1"/>
                <w:color w:val="4472c4"/>
              </w:rPr>
            </w:pPr>
            <w:r w:rsidDel="00000000" w:rsidR="00000000" w:rsidRPr="00000000">
              <w:rPr>
                <w:rtl w:val="0"/>
              </w:rPr>
              <w:t xml:space="preserve">Receive and facilitate resolution of concerns and grievances in relation to the Activities, promptly and effectively, in a transparent manner that is culturally appropriate and readily accessible to all parties affected by the Activities, at no cost and without retribution, including concerns and grievances filed anonymously, in a manner consistent with ESS10.</w:t>
            </w:r>
            <w:r w:rsidDel="00000000" w:rsidR="00000000" w:rsidRPr="00000000">
              <w:rPr>
                <w:rtl w:val="0"/>
              </w:rPr>
            </w:r>
          </w:p>
        </w:tc>
        <w:tc>
          <w:tcPr>
            <w:tcBorders>
              <w:top w:color="000000" w:space="0" w:sz="0" w:val="nil"/>
            </w:tcBorders>
          </w:tcPr>
          <w:p w:rsidR="00000000" w:rsidDel="00000000" w:rsidP="00000000" w:rsidRDefault="00000000" w:rsidRPr="00000000" w14:paraId="000000C0">
            <w:pPr>
              <w:spacing w:after="120" w:before="120" w:lineRule="auto"/>
              <w:rPr>
                <w:i w:val="1"/>
                <w:iCs w:val="1"/>
              </w:rPr>
            </w:pPr>
            <w:r w:rsidDel="00000000" w:rsidR="00000000" w:rsidRPr="00000000">
              <w:rPr>
                <w:i w:val="1"/>
                <w:iCs w:val="1"/>
                <w:rtl w:val="0"/>
              </w:rPr>
              <w:t xml:space="preserve">Throughout implementation of Activities. </w:t>
            </w:r>
          </w:p>
          <w:p w:rsidR="00000000" w:rsidDel="00000000" w:rsidP="00000000" w:rsidRDefault="00000000" w:rsidRPr="00000000" w14:paraId="000000C1">
            <w:pPr>
              <w:spacing w:after="120" w:before="120" w:lineRule="auto"/>
              <w:rPr>
                <w:i w:val="1"/>
                <w:iCs w:val="1"/>
              </w:rPr>
            </w:pPr>
            <w:r w:rsidDel="00000000" w:rsidR="00000000" w:rsidRPr="00000000">
              <w:rPr>
                <w:rtl w:val="0"/>
              </w:rPr>
            </w:r>
          </w:p>
          <w:p w:rsidR="00000000" w:rsidDel="00000000" w:rsidP="00000000" w:rsidRDefault="00000000" w:rsidRPr="00000000" w14:paraId="000000C2">
            <w:pPr>
              <w:spacing w:after="120" w:before="120" w:lineRule="auto"/>
              <w:rPr/>
            </w:pPr>
            <w:r w:rsidDel="00000000" w:rsidR="00000000" w:rsidRPr="00000000">
              <w:rPr>
                <w:rtl w:val="0"/>
              </w:rPr>
            </w:r>
          </w:p>
        </w:tc>
        <w:tc>
          <w:tcPr>
            <w:tcBorders>
              <w:top w:color="000000" w:space="0" w:sz="0" w:val="nil"/>
            </w:tcBorders>
          </w:tcPr>
          <w:p w:rsidR="00000000" w:rsidDel="00000000" w:rsidP="00000000" w:rsidRDefault="00000000" w:rsidRPr="00000000" w14:paraId="000000C3">
            <w:pPr>
              <w:spacing w:after="120" w:before="120" w:lineRule="auto"/>
              <w:rPr/>
            </w:pPr>
            <w:r w:rsidDel="00000000" w:rsidR="00000000" w:rsidRPr="00000000">
              <w:rPr>
                <w:rtl w:val="0"/>
              </w:rPr>
              <w:t xml:space="preserve"> MoIT, GovTech</w:t>
            </w:r>
          </w:p>
        </w:tc>
      </w:tr>
    </w:tbl>
    <w:p w:rsidR="00000000" w:rsidDel="00000000" w:rsidP="00000000" w:rsidRDefault="00000000" w:rsidRPr="00000000" w14:paraId="000000C4">
      <w:pPr>
        <w:rPr/>
      </w:pPr>
      <w:r w:rsidDel="00000000" w:rsidR="00000000" w:rsidRPr="00000000">
        <w:rPr>
          <w:rtl w:val="0"/>
        </w:rPr>
        <w:br w:type="textWrapping"/>
      </w:r>
    </w:p>
    <w:sectPr>
      <w:headerReference r:id="rId12" w:type="default"/>
      <w:headerReference r:id="rId13" w:type="first"/>
      <w:headerReference r:id="rId14" w:type="even"/>
      <w:footerReference r:id="rId15" w:type="default"/>
      <w:type w:val="nextPage"/>
      <w:pgSz w:h="12240" w:w="15840" w:orient="landscape"/>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0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Ministry of Infrastructure and Transport, Government Technology Agency, Royal Government of Bhutan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0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431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Ministry of Infrastructure and Transport, Government Technology, Royal Government of Bhutan           </w:t>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3" cy="5938643"/>
              <wp:effectExtent b="0" l="0" r="0" t="0"/>
              <wp:wrapNone/>
              <wp:docPr id="1" name=""/>
              <a:graphic>
                <a:graphicData uri="http://schemas.microsoft.com/office/word/2010/wordprocessingShape">
                  <wps:wsp>
                    <wps:cNvSpPr/>
                    <wps:cNvPr id="2" name="Shape 2"/>
                    <wps:spPr>
                      <a:xfrm rot="-2700000">
                        <a:off x="1994153" y="2942118"/>
                        <a:ext cx="6703695" cy="167576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rbel" w:cs="Corbel" w:eastAsia="Corbel" w:hAnsi="Corbel"/>
                              <w:b w:val="0"/>
                              <w:i w:val="0"/>
                              <w:smallCaps w:val="0"/>
                              <w:strike w:val="0"/>
                              <w:color w:val="c0c0c0"/>
                              <w:sz w:val="144"/>
                              <w:vertAlign w:val="baseline"/>
                            </w:rPr>
                            <w:t xml:space="preserve">WORKING 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3" cy="593864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8643" cy="5938643"/>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bCs w:val="1"/>
        <w:i w:val="0"/>
        <w:iCs w:val="0"/>
        <w:smallCaps w:val="1"/>
        <w:strike w:val="0"/>
        <w:color w:val="808080"/>
        <w:sz w:val="18"/>
        <w:szCs w:val="18"/>
        <w:u w:val="none"/>
        <w:shd w:fill="auto" w:val="clear"/>
        <w:vertAlign w:val="baseline"/>
      </w:rPr>
    </w:pPr>
    <w:r w:rsidDel="00000000" w:rsidR="00000000" w:rsidRPr="00000000">
      <w:rPr>
        <w:rFonts w:ascii="Calibri" w:cs="Calibri" w:eastAsia="Calibri" w:hAnsi="Calibri"/>
        <w:b w:val="1"/>
        <w:bCs w:val="1"/>
        <w:i w:val="0"/>
        <w:iCs w:val="0"/>
        <w:smallCaps w:val="1"/>
        <w:strike w:val="0"/>
        <w:color w:val="808080"/>
        <w:sz w:val="18"/>
        <w:szCs w:val="18"/>
        <w:u w:val="none"/>
        <w:shd w:fill="auto" w:val="clear"/>
        <w:vertAlign w:val="baseline"/>
        <w:rtl w:val="0"/>
      </w:rPr>
      <w:t xml:space="preserve">Preparation of the Bhutan ACCESS Project</w:t>
    </w:r>
  </w:p>
  <w:p w:rsidR="00000000" w:rsidDel="00000000" w:rsidP="00000000" w:rsidRDefault="00000000" w:rsidRPr="00000000" w14:paraId="000000C7">
    <w:pPr>
      <w:keepNext w:val="0"/>
      <w:keepLines w:val="0"/>
      <w:pageBreakBefore w:val="0"/>
      <w:widowControl w:val="1"/>
      <w:pBdr>
        <w:top w:space="0" w:sz="0" w:val="nil"/>
        <w:left w:space="0" w:sz="0" w:val="nil"/>
        <w:bottom w:color="00b050" w:space="1" w:sz="18" w:val="single"/>
        <w:right w:space="0" w:sz="0" w:val="nil"/>
        <w:between w:space="0" w:sz="0" w:val="nil"/>
      </w:pBdr>
      <w:shd w:fill="auto" w:val="clear"/>
      <w:tabs>
        <w:tab w:val="center" w:leader="none" w:pos="4680"/>
        <w:tab w:val="right" w:leader="none" w:pos="9360"/>
        <w:tab w:val="center" w:leader="none" w:pos="5040"/>
        <w:tab w:val="right" w:leader="none" w:pos="10080"/>
      </w:tabs>
      <w:spacing w:after="0" w:before="0" w:line="240" w:lineRule="auto"/>
      <w:ind w:left="0" w:right="0" w:firstLine="0"/>
      <w:jc w:val="left"/>
      <w:rPr>
        <w:rFonts w:ascii="Calibri" w:cs="Calibri" w:eastAsia="Calibri" w:hAnsi="Calibri"/>
        <w:b w:val="1"/>
        <w:bCs w:val="1"/>
        <w:i w:val="0"/>
        <w:iCs w:val="0"/>
        <w:smallCaps w:val="1"/>
        <w:strike w:val="0"/>
        <w:color w:val="808080"/>
        <w:sz w:val="18"/>
        <w:szCs w:val="18"/>
        <w:u w:val="none"/>
        <w:shd w:fill="auto" w:val="clear"/>
        <w:vertAlign w:val="baseline"/>
      </w:rPr>
    </w:pPr>
    <w:r w:rsidDel="00000000" w:rsidR="00000000" w:rsidRPr="00000000">
      <w:rPr>
        <w:rFonts w:ascii="Calibri" w:cs="Calibri" w:eastAsia="Calibri" w:hAnsi="Calibri"/>
        <w:b w:val="1"/>
        <w:bCs w:val="1"/>
        <w:i w:val="0"/>
        <w:iCs w:val="0"/>
        <w:smallCaps w:val="1"/>
        <w:strike w:val="0"/>
        <w:color w:val="808080"/>
        <w:sz w:val="18"/>
        <w:szCs w:val="18"/>
        <w:u w:val="none"/>
        <w:shd w:fill="auto" w:val="clear"/>
        <w:vertAlign w:val="baseline"/>
        <w:rtl w:val="0"/>
      </w:rPr>
      <w:t xml:space="preserve">Project Preparation Advance (PPA)</w:t>
      <w:tab/>
      <w:tab/>
      <w:t xml:space="preserve">ENVIRONMENTAL AND SOCIAL COMMITMENT PLAN (ESCP)</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bCs w:val="1"/>
        <w:i w:val="0"/>
        <w:iCs w:val="0"/>
        <w:smallCaps w:val="0"/>
        <w:strike w:val="0"/>
        <w:color w:val="80808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RSA revised v2 Oct 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2023</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bCs w:val="1"/>
        <w:i w:val="0"/>
        <w:iCs w:val="0"/>
        <w:smallCaps w:val="0"/>
        <w:strike w:val="0"/>
        <w:color w:val="80808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808080"/>
        <w:sz w:val="16"/>
        <w:szCs w:val="16"/>
        <w:u w:val="none"/>
        <w:shd w:fill="auto" w:val="clear"/>
        <w:vertAlign w:val="baseline"/>
        <w:rtl w:val="0"/>
      </w:rPr>
      <w:tab/>
      <w:tab/>
      <w:tab/>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bCs w:val="1"/>
        <w:i w:val="0"/>
        <w:iCs w:val="0"/>
        <w:smallCaps w:val="1"/>
        <w:strike w:val="0"/>
        <w:color w:val="808080"/>
        <w:sz w:val="18"/>
        <w:szCs w:val="18"/>
        <w:u w:val="none"/>
        <w:shd w:fill="auto" w:val="clear"/>
        <w:vertAlign w:val="baseline"/>
      </w:rPr>
    </w:pPr>
    <w:r w:rsidDel="00000000" w:rsidR="00000000" w:rsidRPr="00000000">
      <w:rPr>
        <w:rFonts w:ascii="Calibri" w:cs="Calibri" w:eastAsia="Calibri" w:hAnsi="Calibri"/>
        <w:b w:val="1"/>
        <w:bCs w:val="1"/>
        <w:i w:val="0"/>
        <w:iCs w:val="0"/>
        <w:smallCaps w:val="1"/>
        <w:strike w:val="0"/>
        <w:color w:val="808080"/>
        <w:sz w:val="18"/>
        <w:szCs w:val="18"/>
        <w:u w:val="none"/>
        <w:shd w:fill="auto" w:val="clear"/>
        <w:vertAlign w:val="baseline"/>
        <w:rtl w:val="0"/>
      </w:rPr>
      <w:t xml:space="preserve">Preparation of the Bhutan ACCESS Project</w:t>
    </w:r>
  </w:p>
  <w:p w:rsidR="00000000" w:rsidDel="00000000" w:rsidP="00000000" w:rsidRDefault="00000000" w:rsidRPr="00000000" w14:paraId="000000D2">
    <w:pPr>
      <w:keepNext w:val="0"/>
      <w:keepLines w:val="0"/>
      <w:pageBreakBefore w:val="0"/>
      <w:widowControl w:val="1"/>
      <w:pBdr>
        <w:top w:space="0" w:sz="0" w:val="nil"/>
        <w:left w:space="0" w:sz="0" w:val="nil"/>
        <w:bottom w:color="00b050" w:space="1" w:sz="18" w:val="single"/>
        <w:right w:space="0" w:sz="0" w:val="nil"/>
        <w:between w:space="0" w:sz="0" w:val="nil"/>
      </w:pBdr>
      <w:shd w:fill="auto" w:val="clear"/>
      <w:tabs>
        <w:tab w:val="center" w:leader="none" w:pos="4680"/>
        <w:tab w:val="right" w:leader="none" w:pos="9360"/>
        <w:tab w:val="center" w:leader="none" w:pos="5040"/>
        <w:tab w:val="right" w:leader="none" w:pos="14310"/>
      </w:tabs>
      <w:spacing w:after="0" w:before="0" w:line="240" w:lineRule="auto"/>
      <w:ind w:left="0" w:right="0" w:firstLine="0"/>
      <w:jc w:val="left"/>
      <w:rPr>
        <w:rFonts w:ascii="Calibri" w:cs="Calibri" w:eastAsia="Calibri" w:hAnsi="Calibri"/>
        <w:b w:val="1"/>
        <w:bCs w:val="1"/>
        <w:i w:val="0"/>
        <w:iCs w:val="0"/>
        <w:smallCaps w:val="1"/>
        <w:strike w:val="0"/>
        <w:color w:val="808080"/>
        <w:sz w:val="18"/>
        <w:szCs w:val="18"/>
        <w:u w:val="none"/>
        <w:shd w:fill="auto" w:val="clear"/>
        <w:vertAlign w:val="baseline"/>
      </w:rPr>
    </w:pPr>
    <w:r w:rsidDel="00000000" w:rsidR="00000000" w:rsidRPr="00000000">
      <w:rPr>
        <w:rFonts w:ascii="Calibri" w:cs="Calibri" w:eastAsia="Calibri" w:hAnsi="Calibri"/>
        <w:b w:val="1"/>
        <w:bCs w:val="1"/>
        <w:i w:val="0"/>
        <w:iCs w:val="0"/>
        <w:smallCaps w:val="1"/>
        <w:strike w:val="0"/>
        <w:color w:val="808080"/>
        <w:sz w:val="18"/>
        <w:szCs w:val="18"/>
        <w:u w:val="none"/>
        <w:shd w:fill="auto" w:val="clear"/>
        <w:vertAlign w:val="baseline"/>
        <w:rtl w:val="0"/>
      </w:rPr>
      <w:t xml:space="preserve">Project Preparation Advance (PPA)</w:t>
      <w:tab/>
      <w:tab/>
      <w:t xml:space="preserve">ENVIRONMENTAL AND SOCIAL COMMITMENT PLAN (ESCP)</w:t>
    </w:r>
  </w:p>
  <w:p w:rsidR="00000000" w:rsidDel="00000000" w:rsidP="00000000" w:rsidRDefault="00000000" w:rsidRPr="00000000" w14:paraId="000000D3">
    <w:pPr>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276" w:lineRule="auto"/>
      <w:ind w:left="0" w:firstLine="0"/>
      <w:jc w:val="center"/>
    </w:pPr>
    <w:rPr>
      <w:rFonts w:ascii="Calibri" w:cs="Calibri" w:eastAsia="Calibri" w:hAnsi="Calibri"/>
      <w:b w:val="1"/>
      <w:bCs w:val="1"/>
      <w:color w:val="00b050"/>
      <w:sz w:val="32"/>
      <w:szCs w:val="32"/>
    </w:rPr>
  </w:style>
  <w:style w:type="paragraph" w:styleId="Heading2">
    <w:name w:val="heading 2"/>
    <w:basedOn w:val="Normal"/>
    <w:next w:val="Normal"/>
    <w:pPr>
      <w:keepNext w:val="1"/>
      <w:keepLines w:val="1"/>
      <w:pBdr>
        <w:bottom w:color="00b050" w:space="1" w:sz="36" w:val="single"/>
      </w:pBdr>
      <w:spacing w:before="200" w:lineRule="auto"/>
      <w:ind w:left="0" w:firstLine="0"/>
    </w:pPr>
    <w:rPr>
      <w:b w:val="1"/>
      <w:bCs w:val="1"/>
      <w:color w:val="00b050"/>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450" w:right="0" w:hanging="360"/>
      <w:jc w:val="both"/>
    </w:pPr>
    <w:rPr>
      <w:rFonts w:ascii="Calibri" w:cs="Calibri" w:eastAsia="Calibri" w:hAnsi="Calibri"/>
      <w:b w:val="1"/>
      <w:bCs w:val="1"/>
      <w:i w:val="0"/>
      <w:iCs w:val="0"/>
      <w:smallCaps w:val="0"/>
      <w:strike w:val="0"/>
      <w:color w:val="00b050"/>
      <w:sz w:val="24"/>
      <w:szCs w:val="24"/>
      <w:u w:val="none"/>
      <w:shd w:fill="auto" w:val="clear"/>
      <w:vertAlign w:val="baseline"/>
    </w:rPr>
  </w:style>
  <w:style w:type="paragraph" w:styleId="Heading4">
    <w:name w:val="heading 4"/>
    <w:basedOn w:val="Normal"/>
    <w:next w:val="Normal"/>
    <w:pPr>
      <w:keepNext w:val="1"/>
      <w:keepLines w:val="1"/>
      <w:spacing w:after="120" w:before="120" w:lineRule="auto"/>
      <w:ind w:left="0" w:firstLine="0"/>
      <w:jc w:val="both"/>
    </w:pPr>
    <w:rPr>
      <w:b w:val="1"/>
      <w:bCs w:val="1"/>
      <w:i w:val="1"/>
      <w:iCs w:val="1"/>
      <w:color w:val="00b050"/>
    </w:rPr>
  </w:style>
  <w:style w:type="paragraph" w:styleId="Heading5">
    <w:name w:val="heading 5"/>
    <w:basedOn w:val="Normal"/>
    <w:next w:val="Normal"/>
    <w:pPr>
      <w:widowControl w:val="0"/>
      <w:spacing w:after="120" w:before="120" w:lineRule="auto"/>
      <w:ind w:left="-32767" w:firstLine="0"/>
      <w:jc w:val="both"/>
    </w:pPr>
    <w:rPr>
      <w:b w:val="1"/>
      <w:bCs w:val="1"/>
      <w:i w:val="1"/>
      <w:iCs w:val="1"/>
      <w:color w:val="c55911"/>
      <w:sz w:val="24"/>
      <w:szCs w:val="24"/>
    </w:rPr>
  </w:style>
  <w:style w:type="paragraph" w:styleId="Heading6">
    <w:name w:val="heading 6"/>
    <w:basedOn w:val="Normal"/>
    <w:next w:val="Normal"/>
    <w:pPr>
      <w:keepNext w:val="1"/>
      <w:keepLines w:val="1"/>
      <w:spacing w:before="200" w:line="276" w:lineRule="auto"/>
      <w:ind w:left="-32767" w:firstLine="0"/>
    </w:pPr>
    <w:rPr>
      <w:rFonts w:ascii="Calibri" w:cs="Calibri" w:eastAsia="Calibri" w:hAnsi="Calibri"/>
      <w:i w:val="1"/>
      <w:iCs w:val="1"/>
      <w:color w:val="1f3863"/>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3.xml"/><Relationship Id="rId13" Type="http://schemas.openxmlformats.org/officeDocument/2006/relationships/header" Target="header6.xml"/><Relationship Id="rId12" Type="http://schemas.openxmlformats.org/officeDocument/2006/relationships/header" Target="head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footer" Target="footer4.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0x01010002AA35F16FF5284BA367039AF1F1DB9800429232D7BCD8F74195F78BEB365F3291</vt:lpwstr>
  </property>
  <property fmtid="{D5CDD505-2E9C-101B-9397-08002B2CF9AE}" pid="3" name="RatedBy">
    <vt:lpwstr>RatedBy</vt:lpwstr>
  </property>
  <property fmtid="{D5CDD505-2E9C-101B-9397-08002B2CF9AE}" pid="4" name="LikedBy">
    <vt:lpwstr>LikedBy</vt:lpwstr>
  </property>
  <property fmtid="{D5CDD505-2E9C-101B-9397-08002B2CF9AE}" pid="5" name="Ratings">
    <vt:lpwstr>Ratings</vt:lpwstr>
  </property>
  <property fmtid="{D5CDD505-2E9C-101B-9397-08002B2CF9AE}" pid="6" name="ProofOfDelivery">
    <vt:lpwstr>ProofOfDelivery</vt:lpwstr>
  </property>
  <property fmtid="{D5CDD505-2E9C-101B-9397-08002B2CF9AE}" pid="7" name="WbDocsObjectId">
    <vt:lpwstr>WbDocsObjectId</vt:lpwstr>
  </property>
  <property fmtid="{D5CDD505-2E9C-101B-9397-08002B2CF9AE}" pid="8" name="IsDocumentTagged">
    <vt:lpwstr>IsDocumentTagged</vt:lpwstr>
  </property>
  <property fmtid="{D5CDD505-2E9C-101B-9397-08002B2CF9AE}" pid="9" name="GrammarlyDocumentId">
    <vt:lpwstr>5d7dca58ec33b3e91258f281085b0b1d842de8c1aa2d4512f8a022030b17148c</vt:lpwstr>
  </property>
  <property fmtid="{D5CDD505-2E9C-101B-9397-08002B2CF9AE}" pid="10" name="fbe16eaccf4749f086104f7c67297f76">
    <vt:lpwstr>World Bank|bc205cc9-8a56-48a3-9f30-b099e7707c1b</vt:lpwstr>
  </property>
  <property fmtid="{D5CDD505-2E9C-101B-9397-08002B2CF9AE}" pid="11" name="g60ac5c7cc5e48988332aa7f3f7675f4">
    <vt:lpwstr>World|181f87ec-6d12-43c8-9f7a-dc47bc14aa64</vt:lpwstr>
  </property>
  <property fmtid="{D5CDD505-2E9C-101B-9397-08002B2CF9AE}" pid="12" name="le7312e839b9405fb813e48a1ee083cb">
    <vt:lpwstr>English|e31af5d6-94ea-4ba5-925e-022fd8479dfd</vt:lpwstr>
  </property>
  <property fmtid="{D5CDD505-2E9C-101B-9397-08002B2CF9AE}" pid="13" name="n3588c81c2504f79a2ae07b8fc872de1">
    <vt:lpwstr>Official Use Only|4119b812-446b-4199-aebc-580c95bfd42a</vt:lpwstr>
  </property>
  <property fmtid="{D5CDD505-2E9C-101B-9397-08002B2CF9AE}" pid="14" name="f6836c8cfc5146d888b8918e85fd4b0e">
    <vt:lpwstr>World|181f87ec-6d12-43c8-9f7a-dc47bc14aa64</vt:lpwstr>
  </property>
  <property fmtid="{D5CDD505-2E9C-101B-9397-08002B2CF9AE}" pid="15" name="WBDocs_Originating_Unit">
    <vt:lpwstr>WBDocs_Originating_Unit</vt:lpwstr>
  </property>
  <property fmtid="{D5CDD505-2E9C-101B-9397-08002B2CF9AE}" pid="16" name="_dlc_DocIdItemGuid">
    <vt:lpwstr>6ce84fab-3b70-4057-8c57-ca25036d0a84</vt:lpwstr>
  </property>
  <property fmtid="{D5CDD505-2E9C-101B-9397-08002B2CF9AE}" pid="17" name="TaxKeyword">
    <vt:lpwstr>TaxKeyword</vt:lpwstr>
  </property>
  <property fmtid="{D5CDD505-2E9C-101B-9397-08002B2CF9AE}" pid="18" name="Region">
    <vt:lpwstr>3;#World|181f87ec-6d12-43c8-9f7a-dc47bc14aa64</vt:lpwstr>
  </property>
  <property fmtid="{D5CDD505-2E9C-101B-9397-08002B2CF9AE}" pid="19" name="WBDocs_Access_To_Info_Exception">
    <vt:lpwstr>12. Not Assessed</vt:lpwstr>
  </property>
  <property fmtid="{D5CDD505-2E9C-101B-9397-08002B2CF9AE}" pid="20" name="m30f5f85ad26449189da578bd9e06217">
    <vt:lpwstr>m30f5f85ad26449189da578bd9e06217</vt:lpwstr>
  </property>
  <property fmtid="{D5CDD505-2E9C-101B-9397-08002B2CF9AE}" pid="21" name="wb_exceptionapprover">
    <vt:lpwstr>wb_exceptionapprover</vt:lpwstr>
  </property>
  <property fmtid="{D5CDD505-2E9C-101B-9397-08002B2CF9AE}" pid="22" name="ncc44d6e437c4ee18d4e35566604faa7">
    <vt:lpwstr>ncc44d6e437c4ee18d4e35566604faa7</vt:lpwstr>
  </property>
  <property fmtid="{D5CDD505-2E9C-101B-9397-08002B2CF9AE}" pid="23" name="wb_publicalternativeapprover">
    <vt:lpwstr>wb_publicalternativeapprover</vt:lpwstr>
  </property>
  <property fmtid="{D5CDD505-2E9C-101B-9397-08002B2CF9AE}" pid="24" name="InternalSponsor">
    <vt:lpwstr>InternalSponsor</vt:lpwstr>
  </property>
  <property fmtid="{D5CDD505-2E9C-101B-9397-08002B2CF9AE}" pid="25" name="GeographicArea">
    <vt:lpwstr>3;#World|181f87ec-6d12-43c8-9f7a-dc47bc14aa64</vt:lpwstr>
  </property>
  <property fmtid="{D5CDD505-2E9C-101B-9397-08002B2CF9AE}" pid="26" name="wb_externalpublic">
    <vt:lpwstr>false</vt:lpwstr>
  </property>
  <property fmtid="{D5CDD505-2E9C-101B-9397-08002B2CF9AE}" pid="27" name="ExternalSponsor">
    <vt:lpwstr>ExternalSponsor</vt:lpwstr>
  </property>
  <property fmtid="{D5CDD505-2E9C-101B-9397-08002B2CF9AE}" pid="28" name="InformationClassification">
    <vt:lpwstr>1;#Official Use Only|4119b812-446b-4199-aebc-580c95bfd42a</vt:lpwstr>
  </property>
  <property fmtid="{D5CDD505-2E9C-101B-9397-08002B2CF9AE}" pid="29" name="UserData">
    <vt:lpwstr>UserData</vt:lpwstr>
  </property>
  <property fmtid="{D5CDD505-2E9C-101B-9397-08002B2CF9AE}" pid="30" name="WBDocs_Document_Date">
    <vt:lpwstr>2023-10-19T14:43:34Z</vt:lpwstr>
  </property>
  <property fmtid="{D5CDD505-2E9C-101B-9397-08002B2CF9AE}" pid="31" name="e7fed2b567784b7fb4115fec76c3b6ef">
    <vt:lpwstr>e7fed2b567784b7fb4115fec76c3b6ef</vt:lpwstr>
  </property>
  <property fmtid="{D5CDD505-2E9C-101B-9397-08002B2CF9AE}" pid="32" name="wb_country">
    <vt:lpwstr>wb_country</vt:lpwstr>
  </property>
  <property fmtid="{D5CDD505-2E9C-101B-9397-08002B2CF9AE}" pid="33" name="wb_publicapprover">
    <vt:lpwstr>wb_publicapprover</vt:lpwstr>
  </property>
  <property fmtid="{D5CDD505-2E9C-101B-9397-08002B2CF9AE}" pid="34" name="Country">
    <vt:lpwstr>Country</vt:lpwstr>
  </property>
  <property fmtid="{D5CDD505-2E9C-101B-9397-08002B2CF9AE}" pid="35" name="Organization">
    <vt:lpwstr>4;#World Bank|bc205cc9-8a56-48a3-9f30-b099e7707c1b</vt:lpwstr>
  </property>
  <property fmtid="{D5CDD505-2E9C-101B-9397-08002B2CF9AE}" pid="36" name="VPU">
    <vt:lpwstr>VPU</vt:lpwstr>
  </property>
  <property fmtid="{D5CDD505-2E9C-101B-9397-08002B2CF9AE}" pid="37" name="DocumentType">
    <vt:lpwstr>DocumentType</vt:lpwstr>
  </property>
  <property fmtid="{D5CDD505-2E9C-101B-9397-08002B2CF9AE}" pid="38" name="h40645383bce4db190f92f65d69cf557">
    <vt:lpwstr>h40645383bce4db190f92f65d69cf557</vt:lpwstr>
  </property>
  <property fmtid="{D5CDD505-2E9C-101B-9397-08002B2CF9AE}" pid="39" name="e0919e4a962d4c1aa34dcc9ee85a7530">
    <vt:lpwstr>e0919e4a962d4c1aa34dcc9ee85a7530</vt:lpwstr>
  </property>
  <property fmtid="{D5CDD505-2E9C-101B-9397-08002B2CF9AE}" pid="40" name="Topics">
    <vt:lpwstr>Topics</vt:lpwstr>
  </property>
  <property fmtid="{D5CDD505-2E9C-101B-9397-08002B2CF9AE}" pid="41" name="WBDocs_Information_Classification">
    <vt:lpwstr>Official Use Only</vt:lpwstr>
  </property>
  <property fmtid="{D5CDD505-2E9C-101B-9397-08002B2CF9AE}" pid="42" name="Languages">
    <vt:lpwstr>2;#English|e31af5d6-94ea-4ba5-925e-022fd8479dfd</vt:lpwstr>
  </property>
  <property fmtid="{D5CDD505-2E9C-101B-9397-08002B2CF9AE}" pid="43" name="g24ce987e2a14cd88b1be8bba67dc4d6">
    <vt:lpwstr>g24ce987e2a14cd88b1be8bba67dc4d6</vt:lpwstr>
  </property>
  <property fmtid="{D5CDD505-2E9C-101B-9397-08002B2CF9AE}" pid="44" name="wb_language">
    <vt:lpwstr>wb_language</vt:lpwstr>
  </property>
  <property fmtid="{D5CDD505-2E9C-101B-9397-08002B2CF9AE}" pid="45" name="WBDocs_Local_Document_Type">
    <vt:lpwstr>WBDocs_Local_Document_Type</vt:lpwstr>
  </property>
  <property fmtid="{D5CDD505-2E9C-101B-9397-08002B2CF9AE}" pid="46" name="TaxKeywordTaxHTField">
    <vt:lpwstr>TaxKeywordTaxHTField</vt:lpwstr>
  </property>
  <property fmtid="{D5CDD505-2E9C-101B-9397-08002B2CF9AE}" pid="47" name="BusinessFunctions">
    <vt:lpwstr>BusinessFunctions</vt:lpwstr>
  </property>
</Properties>
</file>